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0EF" w:rsidRPr="007D62AC" w:rsidRDefault="005760EF" w:rsidP="005760EF">
      <w:pPr>
        <w:rPr>
          <w:rFonts w:asciiTheme="minorHAnsi" w:hAnsiTheme="minorHAnsi"/>
          <w:szCs w:val="20"/>
        </w:rPr>
      </w:pPr>
      <w:bookmarkStart w:id="0" w:name="_GoBack"/>
      <w:bookmarkEnd w:id="0"/>
      <w:r w:rsidRPr="007D62AC">
        <w:rPr>
          <w:rFonts w:asciiTheme="minorHAnsi" w:hAnsiTheme="minorHAnsi"/>
          <w:b/>
          <w:szCs w:val="20"/>
        </w:rPr>
        <w:t xml:space="preserve">DQC_0015 </w:t>
      </w:r>
      <w:r w:rsidRPr="007D62AC">
        <w:rPr>
          <w:rFonts w:asciiTheme="minorHAnsi" w:hAnsiTheme="minorHAnsi" w:cs="Helvetica"/>
          <w:b/>
          <w:bCs/>
          <w:kern w:val="36"/>
          <w:szCs w:val="20"/>
        </w:rPr>
        <w:t>Negative Values</w:t>
      </w:r>
      <w:r w:rsidRPr="007D62AC">
        <w:rPr>
          <w:rFonts w:asciiTheme="minorHAnsi" w:hAnsiTheme="minorHAnsi"/>
          <w:b/>
          <w:szCs w:val="20"/>
        </w:rPr>
        <w:t>:</w:t>
      </w:r>
      <w:r w:rsidRPr="007D62AC">
        <w:rPr>
          <w:rFonts w:asciiTheme="minorHAnsi" w:hAnsiTheme="minorHAnsi"/>
          <w:szCs w:val="20"/>
        </w:rPr>
        <w:t xml:space="preserve"> </w:t>
      </w:r>
    </w:p>
    <w:p w:rsidR="007D62AC" w:rsidRPr="007D62AC" w:rsidRDefault="007D62AC" w:rsidP="002C1572">
      <w:pPr>
        <w:rPr>
          <w:rFonts w:asciiTheme="minorHAnsi" w:hAnsiTheme="minorHAnsi"/>
          <w:bCs/>
          <w:szCs w:val="20"/>
        </w:rPr>
      </w:pPr>
      <w:r w:rsidRPr="007D62AC">
        <w:rPr>
          <w:rFonts w:asciiTheme="minorHAnsi" w:hAnsiTheme="minorHAnsi"/>
          <w:bCs/>
          <w:szCs w:val="20"/>
        </w:rPr>
        <w:t xml:space="preserve">Please consider adding </w:t>
      </w:r>
      <w:proofErr w:type="spellStart"/>
      <w:r w:rsidRPr="007D62AC">
        <w:rPr>
          <w:rFonts w:asciiTheme="minorHAnsi" w:hAnsiTheme="minorHAnsi" w:cs="Arial"/>
          <w:szCs w:val="20"/>
        </w:rPr>
        <w:t>StatementBusinessSegmentsAxis</w:t>
      </w:r>
      <w:proofErr w:type="spellEnd"/>
      <w:r w:rsidRPr="007D62AC">
        <w:rPr>
          <w:rFonts w:asciiTheme="minorHAnsi" w:hAnsiTheme="minorHAnsi" w:cs="Arial"/>
          <w:szCs w:val="20"/>
        </w:rPr>
        <w:t xml:space="preserve"> to the listing of member exclusions (DQC_0015_MemberExclusions).</w:t>
      </w:r>
    </w:p>
    <w:p w:rsidR="007D62AC" w:rsidRPr="007D62AC" w:rsidRDefault="007D62AC" w:rsidP="002C1572">
      <w:pPr>
        <w:rPr>
          <w:rFonts w:asciiTheme="minorHAnsi" w:hAnsiTheme="minorHAnsi"/>
          <w:bCs/>
          <w:szCs w:val="20"/>
        </w:rPr>
      </w:pPr>
      <w:r w:rsidRPr="007D62AC">
        <w:rPr>
          <w:rFonts w:asciiTheme="minorHAnsi" w:hAnsiTheme="minorHAnsi"/>
          <w:bCs/>
          <w:szCs w:val="20"/>
        </w:rPr>
        <w:t xml:space="preserve">Many files have negative values (generally immaterial) presented in segment members, possibly due to allocation/transfers among the reporting segments.   </w:t>
      </w:r>
    </w:p>
    <w:p w:rsidR="00786F4E" w:rsidRDefault="00786F4E" w:rsidP="002C1572">
      <w:pPr>
        <w:rPr>
          <w:rFonts w:asciiTheme="minorHAnsi" w:hAnsiTheme="minorHAnsi"/>
          <w:bCs/>
          <w:szCs w:val="20"/>
        </w:rPr>
      </w:pPr>
    </w:p>
    <w:p w:rsidR="007D62AC" w:rsidRPr="007D62AC" w:rsidRDefault="007D62AC" w:rsidP="002C1572">
      <w:pPr>
        <w:rPr>
          <w:rFonts w:asciiTheme="minorHAnsi" w:hAnsiTheme="minorHAnsi"/>
          <w:bCs/>
          <w:szCs w:val="20"/>
        </w:rPr>
      </w:pPr>
      <w:r w:rsidRPr="007D62AC">
        <w:rPr>
          <w:rFonts w:asciiTheme="minorHAnsi" w:hAnsiTheme="minorHAnsi"/>
          <w:bCs/>
          <w:szCs w:val="20"/>
        </w:rPr>
        <w:t xml:space="preserve">Examples: </w:t>
      </w:r>
    </w:p>
    <w:p w:rsidR="007D62AC" w:rsidRPr="007D62AC" w:rsidRDefault="007D62AC" w:rsidP="002C1572">
      <w:pPr>
        <w:rPr>
          <w:rFonts w:asciiTheme="minorHAnsi" w:hAnsiTheme="minorHAnsi"/>
          <w:bCs/>
          <w:szCs w:val="20"/>
        </w:rPr>
      </w:pPr>
      <w:r w:rsidRPr="007D62AC">
        <w:rPr>
          <w:rFonts w:asciiTheme="minorHAnsi" w:hAnsiTheme="minorHAnsi" w:cs="Arial"/>
          <w:bCs/>
          <w:szCs w:val="20"/>
        </w:rPr>
        <w:t>ENBRIDGE INC (Filer) CIK: 0000895728 6/30/2016 6-K</w:t>
      </w:r>
    </w:p>
    <w:p w:rsidR="007D62AC" w:rsidRPr="00AB3495" w:rsidRDefault="007D62AC" w:rsidP="007D62AC">
      <w:pPr>
        <w:spacing w:after="0" w:line="240" w:lineRule="auto"/>
        <w:ind w:left="360" w:hanging="360"/>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3.</w:t>
      </w:r>
      <w:r w:rsidRPr="00AB3495">
        <w:rPr>
          <w:rFonts w:asciiTheme="minorHAnsi" w:eastAsia="Times New Roman" w:hAnsiTheme="minorHAnsi" w:cs="Arial"/>
          <w:sz w:val="16"/>
          <w:szCs w:val="16"/>
        </w:rPr>
        <w:t xml:space="preserve">          </w:t>
      </w:r>
      <w:r w:rsidRPr="00AB3495">
        <w:rPr>
          <w:rFonts w:asciiTheme="minorHAnsi" w:eastAsia="Times New Roman" w:hAnsiTheme="minorHAnsi" w:cs="Arial"/>
          <w:b/>
          <w:bCs/>
          <w:sz w:val="16"/>
          <w:szCs w:val="16"/>
        </w:rPr>
        <w:t>SEGMENTED INFORMATION</w:t>
      </w:r>
    </w:p>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sz w:val="16"/>
          <w:szCs w:val="16"/>
        </w:rPr>
        <w:t xml:space="preserve">Effective January 1, 2016, the Company revised its reportable segments </w:t>
      </w:r>
      <w:r w:rsidRPr="00AB3495">
        <w:rPr>
          <w:rFonts w:asciiTheme="minorHAnsi" w:eastAsia="Times New Roman" w:hAnsiTheme="minorHAnsi" w:cs="Arial"/>
          <w:i/>
          <w:iCs/>
          <w:sz w:val="16"/>
          <w:szCs w:val="16"/>
        </w:rPr>
        <w:t xml:space="preserve">(Note 1). </w:t>
      </w:r>
      <w:r w:rsidRPr="00AB3495">
        <w:rPr>
          <w:rFonts w:asciiTheme="minorHAnsi" w:eastAsia="Times New Roman" w:hAnsiTheme="minorHAnsi" w:cs="Arial"/>
          <w:sz w:val="16"/>
          <w:szCs w:val="16"/>
        </w:rPr>
        <w:t>Revisions to the segmented information presentation on a retrospective basis include:</w:t>
      </w:r>
    </w:p>
    <w:p w:rsidR="007D62AC" w:rsidRPr="00AB3495" w:rsidRDefault="007D62AC" w:rsidP="00AB3495">
      <w:pPr>
        <w:pStyle w:val="ListParagraph"/>
        <w:numPr>
          <w:ilvl w:val="0"/>
          <w:numId w:val="4"/>
        </w:num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sz w:val="16"/>
          <w:szCs w:val="16"/>
        </w:rPr>
        <w:t>The replacement of the previous segments: Liquids Pipelines; Gas Distribution; Gas Pipelines, Processing and Energy Services; Sponsored Investments; and Corporate with new segments: Liquids Pipelines; Gas Distribution; Gas Pipelines and Processing; Green Power and Transmission; and Energy Services; and</w:t>
      </w:r>
    </w:p>
    <w:p w:rsidR="007D62AC" w:rsidRPr="00AB3495" w:rsidRDefault="007D62AC" w:rsidP="00AB3495">
      <w:pPr>
        <w:pStyle w:val="ListParagraph"/>
        <w:numPr>
          <w:ilvl w:val="0"/>
          <w:numId w:val="4"/>
        </w:num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sz w:val="16"/>
          <w:szCs w:val="16"/>
        </w:rPr>
        <w:t>Presenting the Earnings before interest and income taxes of each segment as opposed to Earnings attributable to Enbridge Inc. common shareholders. Amounts related to Interest expense, Income taxes, Earnings attributable to noncontrolling interests and redeemable noncontrolling interests and Preference share dividends are now reported on a consolidated basis.</w:t>
      </w:r>
    </w:p>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sz w:val="16"/>
          <w:szCs w:val="16"/>
        </w:rPr>
        <w:t>Segmented information for the three and six months ended June 30, 2016 and 2015 are as follows:</w:t>
      </w:r>
    </w:p>
    <w:tbl>
      <w:tblPr>
        <w:tblW w:w="5000" w:type="pct"/>
        <w:tblCellMar>
          <w:left w:w="0" w:type="dxa"/>
          <w:right w:w="0" w:type="dxa"/>
        </w:tblCellMar>
        <w:tblLook w:val="04A0" w:firstRow="1" w:lastRow="0" w:firstColumn="1" w:lastColumn="0" w:noHBand="0" w:noVBand="1"/>
      </w:tblPr>
      <w:tblGrid>
        <w:gridCol w:w="2911"/>
        <w:gridCol w:w="758"/>
        <w:gridCol w:w="949"/>
        <w:gridCol w:w="882"/>
        <w:gridCol w:w="1144"/>
        <w:gridCol w:w="711"/>
        <w:gridCol w:w="975"/>
        <w:gridCol w:w="1030"/>
      </w:tblGrid>
      <w:tr w:rsidR="007D62AC" w:rsidRPr="00AB3495" w:rsidTr="007D62AC">
        <w:trPr>
          <w:trHeight w:val="202"/>
        </w:trPr>
        <w:tc>
          <w:tcPr>
            <w:tcW w:w="1555" w:type="pct"/>
            <w:shd w:val="clear" w:color="auto" w:fill="FFFFFF"/>
            <w:vAlign w:val="center"/>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 </w:t>
            </w:r>
          </w:p>
        </w:tc>
        <w:tc>
          <w:tcPr>
            <w:tcW w:w="405" w:type="pct"/>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507" w:type="pct"/>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471" w:type="pct"/>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611" w:type="pct"/>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380" w:type="pct"/>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521" w:type="pct"/>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550" w:type="pct"/>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r>
      <w:tr w:rsidR="007D62AC" w:rsidRPr="00AB3495" w:rsidTr="007D62AC">
        <w:trPr>
          <w:trHeight w:val="202"/>
        </w:trPr>
        <w:tc>
          <w:tcPr>
            <w:tcW w:w="1555" w:type="pct"/>
            <w:tcBorders>
              <w:top w:val="nil"/>
              <w:left w:val="nil"/>
              <w:bottom w:val="single" w:sz="8" w:space="0" w:color="auto"/>
              <w:right w:val="nil"/>
            </w:tcBorders>
            <w:shd w:val="clear" w:color="auto" w:fill="FFFF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Three months ended June 30, 2016</w:t>
            </w:r>
          </w:p>
        </w:tc>
        <w:tc>
          <w:tcPr>
            <w:tcW w:w="405" w:type="pct"/>
            <w:tcBorders>
              <w:top w:val="nil"/>
              <w:left w:val="nil"/>
              <w:bottom w:val="single" w:sz="8" w:space="0" w:color="auto"/>
              <w:right w:val="nil"/>
            </w:tcBorders>
            <w:shd w:val="clear" w:color="auto" w:fill="FFFFFF"/>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Liquids</w:t>
            </w:r>
            <w:r w:rsidRPr="00AB3495">
              <w:rPr>
                <w:rFonts w:asciiTheme="minorHAnsi" w:eastAsia="Times New Roman" w:hAnsiTheme="minorHAnsi" w:cs="Arial"/>
                <w:sz w:val="16"/>
                <w:szCs w:val="16"/>
              </w:rPr>
              <w:br/>
              <w:t>Pipelines</w:t>
            </w:r>
          </w:p>
        </w:tc>
        <w:tc>
          <w:tcPr>
            <w:tcW w:w="507" w:type="pct"/>
            <w:tcBorders>
              <w:top w:val="nil"/>
              <w:left w:val="nil"/>
              <w:bottom w:val="single" w:sz="8" w:space="0" w:color="auto"/>
              <w:right w:val="nil"/>
            </w:tcBorders>
            <w:shd w:val="clear" w:color="auto" w:fill="FFFFFF"/>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Gas</w:t>
            </w:r>
            <w:r w:rsidRPr="00AB3495">
              <w:rPr>
                <w:rFonts w:asciiTheme="minorHAnsi" w:eastAsia="Times New Roman" w:hAnsiTheme="minorHAnsi" w:cs="Arial"/>
                <w:sz w:val="16"/>
                <w:szCs w:val="16"/>
              </w:rPr>
              <w:br/>
              <w:t>Distribution</w:t>
            </w:r>
          </w:p>
        </w:tc>
        <w:tc>
          <w:tcPr>
            <w:tcW w:w="471" w:type="pct"/>
            <w:tcBorders>
              <w:top w:val="nil"/>
              <w:left w:val="nil"/>
              <w:bottom w:val="single" w:sz="8" w:space="0" w:color="auto"/>
              <w:right w:val="nil"/>
            </w:tcBorders>
            <w:shd w:val="clear" w:color="auto" w:fill="FFFFFF"/>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Gas</w:t>
            </w:r>
            <w:r w:rsidRPr="00AB3495">
              <w:rPr>
                <w:rFonts w:asciiTheme="minorHAnsi" w:eastAsia="Times New Roman" w:hAnsiTheme="minorHAnsi" w:cs="Arial"/>
                <w:sz w:val="16"/>
                <w:szCs w:val="16"/>
              </w:rPr>
              <w:br/>
              <w:t>Pipelines</w:t>
            </w:r>
            <w:r w:rsidRPr="00AB3495">
              <w:rPr>
                <w:rFonts w:asciiTheme="minorHAnsi" w:eastAsia="Times New Roman" w:hAnsiTheme="minorHAnsi" w:cs="Arial"/>
                <w:sz w:val="16"/>
                <w:szCs w:val="16"/>
              </w:rPr>
              <w:br/>
              <w:t>and</w:t>
            </w:r>
            <w:r w:rsidRPr="00AB3495">
              <w:rPr>
                <w:rFonts w:asciiTheme="minorHAnsi" w:eastAsia="Times New Roman" w:hAnsiTheme="minorHAnsi" w:cs="Arial"/>
                <w:sz w:val="16"/>
                <w:szCs w:val="16"/>
              </w:rPr>
              <w:br/>
              <w:t>Processing</w:t>
            </w:r>
          </w:p>
        </w:tc>
        <w:tc>
          <w:tcPr>
            <w:tcW w:w="611" w:type="pct"/>
            <w:tcBorders>
              <w:top w:val="nil"/>
              <w:left w:val="nil"/>
              <w:bottom w:val="single" w:sz="8" w:space="0" w:color="auto"/>
              <w:right w:val="nil"/>
            </w:tcBorders>
            <w:shd w:val="clear" w:color="auto" w:fill="FFFFFF"/>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Green Power</w:t>
            </w:r>
            <w:r w:rsidRPr="00AB3495">
              <w:rPr>
                <w:rFonts w:asciiTheme="minorHAnsi" w:eastAsia="Times New Roman" w:hAnsiTheme="minorHAnsi" w:cs="Arial"/>
                <w:sz w:val="16"/>
                <w:szCs w:val="16"/>
              </w:rPr>
              <w:br/>
              <w:t>and</w:t>
            </w:r>
            <w:r w:rsidRPr="00AB3495">
              <w:rPr>
                <w:rFonts w:asciiTheme="minorHAnsi" w:eastAsia="Times New Roman" w:hAnsiTheme="minorHAnsi" w:cs="Arial"/>
                <w:sz w:val="16"/>
                <w:szCs w:val="16"/>
              </w:rPr>
              <w:br/>
              <w:t>Transmission</w:t>
            </w:r>
          </w:p>
        </w:tc>
        <w:tc>
          <w:tcPr>
            <w:tcW w:w="380" w:type="pct"/>
            <w:tcBorders>
              <w:top w:val="nil"/>
              <w:left w:val="nil"/>
              <w:bottom w:val="single" w:sz="8" w:space="0" w:color="auto"/>
              <w:right w:val="nil"/>
            </w:tcBorders>
            <w:shd w:val="clear" w:color="auto" w:fill="FFFFFF"/>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Energy</w:t>
            </w:r>
            <w:r w:rsidRPr="00AB3495">
              <w:rPr>
                <w:rFonts w:asciiTheme="minorHAnsi" w:eastAsia="Times New Roman" w:hAnsiTheme="minorHAnsi" w:cs="Arial"/>
                <w:sz w:val="16"/>
                <w:szCs w:val="16"/>
              </w:rPr>
              <w:br/>
              <w:t>Services</w:t>
            </w:r>
          </w:p>
        </w:tc>
        <w:tc>
          <w:tcPr>
            <w:tcW w:w="521" w:type="pct"/>
            <w:tcBorders>
              <w:top w:val="nil"/>
              <w:left w:val="nil"/>
              <w:bottom w:val="single" w:sz="8" w:space="0" w:color="auto"/>
              <w:right w:val="nil"/>
            </w:tcBorders>
            <w:shd w:val="clear" w:color="auto" w:fill="FFFFFF"/>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Eliminations</w:t>
            </w:r>
            <w:r w:rsidRPr="00AB3495">
              <w:rPr>
                <w:rFonts w:asciiTheme="minorHAnsi" w:eastAsia="Times New Roman" w:hAnsiTheme="minorHAnsi" w:cs="Arial"/>
                <w:sz w:val="16"/>
                <w:szCs w:val="16"/>
              </w:rPr>
              <w:br/>
              <w:t>and Other</w:t>
            </w:r>
          </w:p>
        </w:tc>
        <w:tc>
          <w:tcPr>
            <w:tcW w:w="550" w:type="pct"/>
            <w:tcBorders>
              <w:top w:val="nil"/>
              <w:left w:val="nil"/>
              <w:bottom w:val="single" w:sz="8" w:space="0" w:color="auto"/>
              <w:right w:val="nil"/>
            </w:tcBorders>
            <w:shd w:val="clear" w:color="auto" w:fill="FFFFFF"/>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Consolidated</w:t>
            </w:r>
          </w:p>
        </w:tc>
      </w:tr>
      <w:tr w:rsidR="007D62AC" w:rsidRPr="00AB3495" w:rsidTr="007D62AC">
        <w:trPr>
          <w:trHeight w:val="202"/>
        </w:trPr>
        <w:tc>
          <w:tcPr>
            <w:tcW w:w="1555" w:type="pct"/>
            <w:shd w:val="clear" w:color="auto" w:fill="FFFFFF"/>
            <w:vAlign w:val="bottom"/>
            <w:hideMark/>
          </w:tcPr>
          <w:p w:rsidR="007D62AC" w:rsidRPr="00AB3495" w:rsidRDefault="007D62AC" w:rsidP="007D62AC">
            <w:pPr>
              <w:spacing w:after="0" w:line="240" w:lineRule="auto"/>
              <w:jc w:val="both"/>
              <w:rPr>
                <w:rFonts w:asciiTheme="minorHAnsi" w:eastAsia="Times New Roman" w:hAnsiTheme="minorHAnsi" w:cs="Times New Roman"/>
                <w:sz w:val="16"/>
                <w:szCs w:val="16"/>
              </w:rPr>
            </w:pPr>
            <w:r w:rsidRPr="00AB3495">
              <w:rPr>
                <w:rFonts w:asciiTheme="minorHAnsi" w:eastAsia="Times New Roman" w:hAnsiTheme="minorHAnsi" w:cs="Arial"/>
                <w:i/>
                <w:iCs/>
                <w:sz w:val="16"/>
                <w:szCs w:val="16"/>
              </w:rPr>
              <w:t>(millions of Canadian dollars)</w:t>
            </w:r>
          </w:p>
        </w:tc>
        <w:tc>
          <w:tcPr>
            <w:tcW w:w="405" w:type="pct"/>
            <w:shd w:val="clear" w:color="auto" w:fill="D9D9D9"/>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507" w:type="pct"/>
            <w:shd w:val="clear" w:color="auto" w:fill="D9D9D9"/>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471" w:type="pct"/>
            <w:shd w:val="clear" w:color="auto" w:fill="D9D9D9"/>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611" w:type="pct"/>
            <w:shd w:val="clear" w:color="auto" w:fill="D9D9D9"/>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380" w:type="pct"/>
            <w:shd w:val="clear" w:color="auto" w:fill="D9D9D9"/>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521" w:type="pct"/>
            <w:shd w:val="clear" w:color="auto" w:fill="D9D9D9"/>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c>
          <w:tcPr>
            <w:tcW w:w="550" w:type="pct"/>
            <w:shd w:val="clear" w:color="auto" w:fill="D9D9D9"/>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tc>
      </w:tr>
      <w:tr w:rsidR="007D62AC" w:rsidRPr="00AB3495" w:rsidTr="007D62AC">
        <w:trPr>
          <w:trHeight w:val="202"/>
        </w:trPr>
        <w:tc>
          <w:tcPr>
            <w:tcW w:w="1555" w:type="pct"/>
            <w:shd w:val="clear" w:color="auto" w:fill="FFFFFF"/>
            <w:vAlign w:val="bottom"/>
            <w:hideMark/>
          </w:tcPr>
          <w:p w:rsidR="007D62AC" w:rsidRPr="00AB3495" w:rsidRDefault="007D62AC" w:rsidP="007D62AC">
            <w:pPr>
              <w:spacing w:after="0" w:line="240" w:lineRule="auto"/>
              <w:jc w:val="both"/>
              <w:rPr>
                <w:rFonts w:asciiTheme="minorHAnsi" w:eastAsia="Times New Roman" w:hAnsiTheme="minorHAnsi" w:cs="Times New Roman"/>
                <w:sz w:val="16"/>
                <w:szCs w:val="16"/>
              </w:rPr>
            </w:pPr>
            <w:r w:rsidRPr="00AB3495">
              <w:rPr>
                <w:rFonts w:asciiTheme="minorHAnsi" w:eastAsia="Times New Roman" w:hAnsiTheme="minorHAnsi" w:cs="Arial"/>
                <w:sz w:val="16"/>
                <w:szCs w:val="16"/>
              </w:rPr>
              <w:t>Revenues</w:t>
            </w:r>
          </w:p>
        </w:tc>
        <w:tc>
          <w:tcPr>
            <w:tcW w:w="405"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1,743</w:t>
            </w:r>
          </w:p>
        </w:tc>
        <w:tc>
          <w:tcPr>
            <w:tcW w:w="507"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613</w:t>
            </w:r>
          </w:p>
        </w:tc>
        <w:tc>
          <w:tcPr>
            <w:tcW w:w="47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615</w:t>
            </w:r>
          </w:p>
        </w:tc>
        <w:tc>
          <w:tcPr>
            <w:tcW w:w="61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122</w:t>
            </w:r>
          </w:p>
        </w:tc>
        <w:tc>
          <w:tcPr>
            <w:tcW w:w="380"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4,933</w:t>
            </w:r>
          </w:p>
        </w:tc>
        <w:tc>
          <w:tcPr>
            <w:tcW w:w="521"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(87)</w:t>
            </w:r>
          </w:p>
        </w:tc>
        <w:tc>
          <w:tcPr>
            <w:tcW w:w="550"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7,939</w:t>
            </w:r>
          </w:p>
        </w:tc>
      </w:tr>
      <w:tr w:rsidR="007D62AC" w:rsidRPr="00AB3495" w:rsidTr="007D62AC">
        <w:trPr>
          <w:trHeight w:val="202"/>
        </w:trPr>
        <w:tc>
          <w:tcPr>
            <w:tcW w:w="1555" w:type="pct"/>
            <w:shd w:val="clear" w:color="auto" w:fill="FFFF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highlight w:val="yellow"/>
              </w:rPr>
            </w:pPr>
            <w:r w:rsidRPr="00AB3495">
              <w:rPr>
                <w:rFonts w:asciiTheme="minorHAnsi" w:eastAsia="Times New Roman" w:hAnsiTheme="minorHAnsi" w:cs="Arial"/>
                <w:sz w:val="16"/>
                <w:szCs w:val="16"/>
                <w:highlight w:val="yellow"/>
              </w:rPr>
              <w:t>Commodity and gas distribution costs</w:t>
            </w:r>
          </w:p>
        </w:tc>
        <w:tc>
          <w:tcPr>
            <w:tcW w:w="405"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highlight w:val="yellow"/>
              </w:rPr>
            </w:pPr>
            <w:r w:rsidRPr="00AB3495">
              <w:rPr>
                <w:rFonts w:asciiTheme="minorHAnsi" w:eastAsia="Times New Roman" w:hAnsiTheme="minorHAnsi" w:cs="Arial"/>
                <w:b/>
                <w:bCs/>
                <w:sz w:val="16"/>
                <w:szCs w:val="16"/>
                <w:highlight w:val="yellow"/>
              </w:rPr>
              <w:t>(3)</w:t>
            </w:r>
          </w:p>
        </w:tc>
        <w:tc>
          <w:tcPr>
            <w:tcW w:w="507"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highlight w:val="yellow"/>
              </w:rPr>
            </w:pPr>
            <w:r w:rsidRPr="00AB3495">
              <w:rPr>
                <w:rFonts w:asciiTheme="minorHAnsi" w:eastAsia="Times New Roman" w:hAnsiTheme="minorHAnsi" w:cs="Arial"/>
                <w:b/>
                <w:bCs/>
                <w:sz w:val="16"/>
                <w:szCs w:val="16"/>
                <w:highlight w:val="yellow"/>
              </w:rPr>
              <w:t>(293)</w:t>
            </w:r>
          </w:p>
        </w:tc>
        <w:tc>
          <w:tcPr>
            <w:tcW w:w="471"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highlight w:val="yellow"/>
              </w:rPr>
            </w:pPr>
            <w:r w:rsidRPr="00AB3495">
              <w:rPr>
                <w:rFonts w:asciiTheme="minorHAnsi" w:eastAsia="Times New Roman" w:hAnsiTheme="minorHAnsi" w:cs="Arial"/>
                <w:b/>
                <w:bCs/>
                <w:sz w:val="16"/>
                <w:szCs w:val="16"/>
                <w:highlight w:val="yellow"/>
              </w:rPr>
              <w:t>(463)</w:t>
            </w:r>
          </w:p>
        </w:tc>
        <w:tc>
          <w:tcPr>
            <w:tcW w:w="61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highlight w:val="yellow"/>
              </w:rPr>
            </w:pPr>
            <w:r w:rsidRPr="00AB3495">
              <w:rPr>
                <w:rFonts w:asciiTheme="minorHAnsi" w:eastAsia="Times New Roman" w:hAnsiTheme="minorHAnsi" w:cs="Arial"/>
                <w:b/>
                <w:bCs/>
                <w:sz w:val="16"/>
                <w:szCs w:val="16"/>
                <w:highlight w:val="yellow"/>
              </w:rPr>
              <w:t>2</w:t>
            </w:r>
          </w:p>
        </w:tc>
        <w:tc>
          <w:tcPr>
            <w:tcW w:w="380"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highlight w:val="yellow"/>
              </w:rPr>
            </w:pPr>
            <w:r w:rsidRPr="00AB3495">
              <w:rPr>
                <w:rFonts w:asciiTheme="minorHAnsi" w:eastAsia="Times New Roman" w:hAnsiTheme="minorHAnsi" w:cs="Arial"/>
                <w:b/>
                <w:bCs/>
                <w:sz w:val="16"/>
                <w:szCs w:val="16"/>
                <w:highlight w:val="yellow"/>
              </w:rPr>
              <w:t>(4,917)</w:t>
            </w:r>
          </w:p>
        </w:tc>
        <w:tc>
          <w:tcPr>
            <w:tcW w:w="52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highlight w:val="yellow"/>
              </w:rPr>
            </w:pPr>
            <w:r w:rsidRPr="00AB3495">
              <w:rPr>
                <w:rFonts w:asciiTheme="minorHAnsi" w:eastAsia="Times New Roman" w:hAnsiTheme="minorHAnsi" w:cs="Arial"/>
                <w:b/>
                <w:bCs/>
                <w:sz w:val="16"/>
                <w:szCs w:val="16"/>
                <w:highlight w:val="yellow"/>
              </w:rPr>
              <w:t>87</w:t>
            </w:r>
          </w:p>
        </w:tc>
        <w:tc>
          <w:tcPr>
            <w:tcW w:w="550"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highlight w:val="yellow"/>
              </w:rPr>
              <w:t>(5,587)</w:t>
            </w:r>
          </w:p>
        </w:tc>
      </w:tr>
      <w:tr w:rsidR="007D62AC" w:rsidRPr="00AB3495" w:rsidTr="007D62AC">
        <w:trPr>
          <w:trHeight w:val="202"/>
        </w:trPr>
        <w:tc>
          <w:tcPr>
            <w:tcW w:w="1555" w:type="pct"/>
            <w:shd w:val="clear" w:color="auto" w:fill="FFFF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sz w:val="16"/>
                <w:szCs w:val="16"/>
              </w:rPr>
              <w:t>Operating and administrative</w:t>
            </w:r>
          </w:p>
        </w:tc>
        <w:tc>
          <w:tcPr>
            <w:tcW w:w="405"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(663)</w:t>
            </w:r>
          </w:p>
        </w:tc>
        <w:tc>
          <w:tcPr>
            <w:tcW w:w="507"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(144)</w:t>
            </w:r>
          </w:p>
        </w:tc>
        <w:tc>
          <w:tcPr>
            <w:tcW w:w="471"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(127)</w:t>
            </w:r>
          </w:p>
        </w:tc>
        <w:tc>
          <w:tcPr>
            <w:tcW w:w="611"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(37)</w:t>
            </w:r>
          </w:p>
        </w:tc>
        <w:tc>
          <w:tcPr>
            <w:tcW w:w="380"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(19)</w:t>
            </w:r>
          </w:p>
        </w:tc>
        <w:tc>
          <w:tcPr>
            <w:tcW w:w="521"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(13)</w:t>
            </w:r>
          </w:p>
        </w:tc>
        <w:tc>
          <w:tcPr>
            <w:tcW w:w="550"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(1,003)</w:t>
            </w:r>
          </w:p>
        </w:tc>
      </w:tr>
      <w:tr w:rsidR="007D62AC" w:rsidRPr="00AB3495" w:rsidTr="007D62AC">
        <w:trPr>
          <w:trHeight w:val="202"/>
        </w:trPr>
        <w:tc>
          <w:tcPr>
            <w:tcW w:w="1555" w:type="pct"/>
            <w:tcBorders>
              <w:top w:val="nil"/>
              <w:left w:val="nil"/>
              <w:bottom w:val="single" w:sz="8" w:space="0" w:color="auto"/>
              <w:right w:val="nil"/>
            </w:tcBorders>
            <w:shd w:val="clear" w:color="auto" w:fill="FFFF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sz w:val="16"/>
                <w:szCs w:val="16"/>
              </w:rPr>
              <w:t>Depreciation and amortization</w:t>
            </w:r>
          </w:p>
        </w:tc>
        <w:tc>
          <w:tcPr>
            <w:tcW w:w="405"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(336)</w:t>
            </w:r>
          </w:p>
        </w:tc>
        <w:tc>
          <w:tcPr>
            <w:tcW w:w="507"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(84)</w:t>
            </w:r>
          </w:p>
        </w:tc>
        <w:tc>
          <w:tcPr>
            <w:tcW w:w="47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(75)</w:t>
            </w:r>
          </w:p>
        </w:tc>
        <w:tc>
          <w:tcPr>
            <w:tcW w:w="61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(47)</w:t>
            </w:r>
          </w:p>
        </w:tc>
        <w:tc>
          <w:tcPr>
            <w:tcW w:w="380"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w:t>
            </w:r>
          </w:p>
        </w:tc>
        <w:tc>
          <w:tcPr>
            <w:tcW w:w="52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(12)</w:t>
            </w:r>
          </w:p>
        </w:tc>
        <w:tc>
          <w:tcPr>
            <w:tcW w:w="550"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(555)</w:t>
            </w:r>
          </w:p>
        </w:tc>
      </w:tr>
      <w:tr w:rsidR="007D62AC" w:rsidRPr="00AB3495" w:rsidTr="007D62AC">
        <w:trPr>
          <w:trHeight w:val="202"/>
        </w:trPr>
        <w:tc>
          <w:tcPr>
            <w:tcW w:w="1555" w:type="pct"/>
            <w:shd w:val="clear" w:color="auto" w:fill="FFFFFF"/>
            <w:vAlign w:val="center"/>
            <w:hideMark/>
          </w:tcPr>
          <w:p w:rsidR="007D62AC" w:rsidRPr="00AB3495" w:rsidRDefault="007D62AC" w:rsidP="007D62AC">
            <w:pPr>
              <w:spacing w:after="0" w:line="240" w:lineRule="auto"/>
              <w:ind w:left="200" w:hanging="200"/>
              <w:jc w:val="both"/>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 </w:t>
            </w:r>
          </w:p>
        </w:tc>
        <w:tc>
          <w:tcPr>
            <w:tcW w:w="405"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741</w:t>
            </w:r>
          </w:p>
        </w:tc>
        <w:tc>
          <w:tcPr>
            <w:tcW w:w="507"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92</w:t>
            </w:r>
          </w:p>
        </w:tc>
        <w:tc>
          <w:tcPr>
            <w:tcW w:w="471"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(50)</w:t>
            </w:r>
          </w:p>
        </w:tc>
        <w:tc>
          <w:tcPr>
            <w:tcW w:w="61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40</w:t>
            </w:r>
          </w:p>
        </w:tc>
        <w:tc>
          <w:tcPr>
            <w:tcW w:w="380"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(4)</w:t>
            </w:r>
          </w:p>
        </w:tc>
        <w:tc>
          <w:tcPr>
            <w:tcW w:w="521"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(25)</w:t>
            </w:r>
          </w:p>
        </w:tc>
        <w:tc>
          <w:tcPr>
            <w:tcW w:w="550"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794</w:t>
            </w:r>
          </w:p>
        </w:tc>
      </w:tr>
      <w:tr w:rsidR="007D62AC" w:rsidRPr="00AB3495" w:rsidTr="007D62AC">
        <w:trPr>
          <w:trHeight w:val="202"/>
        </w:trPr>
        <w:tc>
          <w:tcPr>
            <w:tcW w:w="1555" w:type="pct"/>
            <w:shd w:val="clear" w:color="auto" w:fill="FFFFFF"/>
            <w:vAlign w:val="center"/>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Income/(loss) from equity investments</w:t>
            </w:r>
          </w:p>
        </w:tc>
        <w:tc>
          <w:tcPr>
            <w:tcW w:w="405"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(83)</w:t>
            </w:r>
          </w:p>
        </w:tc>
        <w:tc>
          <w:tcPr>
            <w:tcW w:w="507"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(16)</w:t>
            </w:r>
          </w:p>
        </w:tc>
        <w:tc>
          <w:tcPr>
            <w:tcW w:w="47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64</w:t>
            </w:r>
          </w:p>
        </w:tc>
        <w:tc>
          <w:tcPr>
            <w:tcW w:w="611"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w:t>
            </w:r>
          </w:p>
        </w:tc>
        <w:tc>
          <w:tcPr>
            <w:tcW w:w="380"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w:t>
            </w:r>
          </w:p>
        </w:tc>
        <w:tc>
          <w:tcPr>
            <w:tcW w:w="52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w:t>
            </w:r>
          </w:p>
        </w:tc>
        <w:tc>
          <w:tcPr>
            <w:tcW w:w="550"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(37)</w:t>
            </w:r>
          </w:p>
        </w:tc>
      </w:tr>
      <w:tr w:rsidR="007D62AC" w:rsidRPr="00AB3495" w:rsidTr="007D62AC">
        <w:trPr>
          <w:trHeight w:val="202"/>
        </w:trPr>
        <w:tc>
          <w:tcPr>
            <w:tcW w:w="1555" w:type="pct"/>
            <w:tcBorders>
              <w:top w:val="nil"/>
              <w:left w:val="nil"/>
              <w:bottom w:val="single" w:sz="8" w:space="0" w:color="auto"/>
              <w:right w:val="nil"/>
            </w:tcBorders>
            <w:shd w:val="clear" w:color="auto" w:fill="FFFFFF"/>
            <w:vAlign w:val="center"/>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 xml:space="preserve">Other income/(expense) </w:t>
            </w:r>
          </w:p>
        </w:tc>
        <w:tc>
          <w:tcPr>
            <w:tcW w:w="405"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(15)</w:t>
            </w:r>
          </w:p>
        </w:tc>
        <w:tc>
          <w:tcPr>
            <w:tcW w:w="507"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7</w:t>
            </w:r>
          </w:p>
        </w:tc>
        <w:tc>
          <w:tcPr>
            <w:tcW w:w="47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5</w:t>
            </w:r>
          </w:p>
        </w:tc>
        <w:tc>
          <w:tcPr>
            <w:tcW w:w="61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2</w:t>
            </w:r>
          </w:p>
        </w:tc>
        <w:tc>
          <w:tcPr>
            <w:tcW w:w="380"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(2)</w:t>
            </w:r>
          </w:p>
        </w:tc>
        <w:tc>
          <w:tcPr>
            <w:tcW w:w="52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(23)</w:t>
            </w:r>
          </w:p>
        </w:tc>
        <w:tc>
          <w:tcPr>
            <w:tcW w:w="550"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(26)</w:t>
            </w:r>
          </w:p>
        </w:tc>
      </w:tr>
      <w:tr w:rsidR="007D62AC" w:rsidRPr="00AB3495" w:rsidTr="007D62AC">
        <w:trPr>
          <w:trHeight w:val="202"/>
        </w:trPr>
        <w:tc>
          <w:tcPr>
            <w:tcW w:w="1555" w:type="pct"/>
            <w:shd w:val="clear" w:color="auto" w:fill="FFFFFF"/>
            <w:vAlign w:val="center"/>
            <w:hideMark/>
          </w:tcPr>
          <w:p w:rsidR="007D62AC" w:rsidRPr="00AB3495" w:rsidRDefault="007D62AC" w:rsidP="007D62AC">
            <w:pPr>
              <w:spacing w:after="0" w:line="240" w:lineRule="auto"/>
              <w:ind w:left="180" w:hanging="180"/>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Earnings/(loss) before interest and income taxes</w:t>
            </w:r>
          </w:p>
        </w:tc>
        <w:tc>
          <w:tcPr>
            <w:tcW w:w="405"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643</w:t>
            </w:r>
          </w:p>
        </w:tc>
        <w:tc>
          <w:tcPr>
            <w:tcW w:w="507"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83</w:t>
            </w:r>
          </w:p>
        </w:tc>
        <w:tc>
          <w:tcPr>
            <w:tcW w:w="47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19</w:t>
            </w:r>
          </w:p>
        </w:tc>
        <w:tc>
          <w:tcPr>
            <w:tcW w:w="61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41</w:t>
            </w:r>
          </w:p>
        </w:tc>
        <w:tc>
          <w:tcPr>
            <w:tcW w:w="380"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(7)</w:t>
            </w:r>
          </w:p>
        </w:tc>
        <w:tc>
          <w:tcPr>
            <w:tcW w:w="521"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(48)</w:t>
            </w:r>
          </w:p>
        </w:tc>
        <w:tc>
          <w:tcPr>
            <w:tcW w:w="550"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731</w:t>
            </w:r>
          </w:p>
        </w:tc>
      </w:tr>
      <w:tr w:rsidR="007D62AC" w:rsidRPr="00AB3495" w:rsidTr="007D62AC">
        <w:trPr>
          <w:trHeight w:val="202"/>
        </w:trPr>
        <w:tc>
          <w:tcPr>
            <w:tcW w:w="1555" w:type="pct"/>
            <w:shd w:val="clear" w:color="auto" w:fill="FFFFFF"/>
            <w:vAlign w:val="center"/>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Interest expense</w:t>
            </w:r>
          </w:p>
        </w:tc>
        <w:tc>
          <w:tcPr>
            <w:tcW w:w="405"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07"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47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61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380"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2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50" w:type="pct"/>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(369)</w:t>
            </w:r>
          </w:p>
        </w:tc>
      </w:tr>
      <w:tr w:rsidR="007D62AC" w:rsidRPr="00AB3495" w:rsidTr="007D62AC">
        <w:trPr>
          <w:trHeight w:val="202"/>
        </w:trPr>
        <w:tc>
          <w:tcPr>
            <w:tcW w:w="1555" w:type="pct"/>
            <w:tcBorders>
              <w:top w:val="nil"/>
              <w:left w:val="nil"/>
              <w:bottom w:val="single" w:sz="8" w:space="0" w:color="auto"/>
              <w:right w:val="nil"/>
            </w:tcBorders>
            <w:shd w:val="clear" w:color="auto" w:fill="FFFFFF"/>
            <w:vAlign w:val="center"/>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Income taxes</w:t>
            </w:r>
          </w:p>
        </w:tc>
        <w:tc>
          <w:tcPr>
            <w:tcW w:w="405"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07"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47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61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380"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2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50"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(10)</w:t>
            </w:r>
          </w:p>
        </w:tc>
      </w:tr>
      <w:tr w:rsidR="007D62AC" w:rsidRPr="00AB3495" w:rsidTr="007D62AC">
        <w:trPr>
          <w:trHeight w:val="202"/>
        </w:trPr>
        <w:tc>
          <w:tcPr>
            <w:tcW w:w="1555" w:type="pct"/>
            <w:shd w:val="clear" w:color="auto" w:fill="FFFF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Earnings</w:t>
            </w:r>
          </w:p>
        </w:tc>
        <w:tc>
          <w:tcPr>
            <w:tcW w:w="405"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07"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47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61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380"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2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50"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352</w:t>
            </w:r>
          </w:p>
        </w:tc>
      </w:tr>
      <w:tr w:rsidR="007D62AC" w:rsidRPr="00AB3495" w:rsidTr="007D62AC">
        <w:trPr>
          <w:trHeight w:val="202"/>
        </w:trPr>
        <w:tc>
          <w:tcPr>
            <w:tcW w:w="1555" w:type="pct"/>
            <w:shd w:val="clear" w:color="auto" w:fill="FFFFFF"/>
            <w:vAlign w:val="center"/>
            <w:hideMark/>
          </w:tcPr>
          <w:p w:rsidR="007D62AC" w:rsidRPr="00AB3495" w:rsidRDefault="007D62AC" w:rsidP="007D62AC">
            <w:pPr>
              <w:spacing w:after="0" w:line="240" w:lineRule="auto"/>
              <w:ind w:left="180" w:hanging="180"/>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Loss attributable to noncontrolling interests and redeemable noncontrolling interests</w:t>
            </w:r>
          </w:p>
        </w:tc>
        <w:tc>
          <w:tcPr>
            <w:tcW w:w="405"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07"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47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61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380"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21"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50" w:type="pct"/>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20</w:t>
            </w:r>
          </w:p>
        </w:tc>
      </w:tr>
      <w:tr w:rsidR="007D62AC" w:rsidRPr="00AB3495" w:rsidTr="007D62AC">
        <w:trPr>
          <w:trHeight w:val="202"/>
        </w:trPr>
        <w:tc>
          <w:tcPr>
            <w:tcW w:w="1555" w:type="pct"/>
            <w:tcBorders>
              <w:top w:val="nil"/>
              <w:left w:val="nil"/>
              <w:bottom w:val="single" w:sz="8" w:space="0" w:color="auto"/>
              <w:right w:val="nil"/>
            </w:tcBorders>
            <w:shd w:val="clear" w:color="auto" w:fill="FFFFFF"/>
            <w:vAlign w:val="center"/>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Preference share dividends</w:t>
            </w:r>
          </w:p>
        </w:tc>
        <w:tc>
          <w:tcPr>
            <w:tcW w:w="405"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07"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47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61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380"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21"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50" w:type="pct"/>
            <w:tcBorders>
              <w:top w:val="nil"/>
              <w:left w:val="nil"/>
              <w:bottom w:val="single" w:sz="8" w:space="0" w:color="auto"/>
              <w:right w:val="nil"/>
            </w:tcBorders>
            <w:shd w:val="clear" w:color="auto" w:fill="D9D9D9"/>
            <w:vAlign w:val="bottom"/>
            <w:hideMark/>
          </w:tcPr>
          <w:p w:rsidR="007D62AC" w:rsidRPr="00AB3495" w:rsidRDefault="007D62AC" w:rsidP="007D62AC">
            <w:pPr>
              <w:spacing w:after="0" w:line="240" w:lineRule="auto"/>
              <w:ind w:right="58"/>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(71)</w:t>
            </w:r>
          </w:p>
        </w:tc>
      </w:tr>
      <w:tr w:rsidR="007D62AC" w:rsidRPr="00AB3495" w:rsidTr="007D62AC">
        <w:trPr>
          <w:trHeight w:val="202"/>
        </w:trPr>
        <w:tc>
          <w:tcPr>
            <w:tcW w:w="1555" w:type="pct"/>
            <w:tcBorders>
              <w:top w:val="nil"/>
              <w:left w:val="nil"/>
              <w:bottom w:val="single" w:sz="12" w:space="0" w:color="auto"/>
              <w:right w:val="nil"/>
            </w:tcBorders>
            <w:shd w:val="clear" w:color="auto" w:fill="FFFFFF"/>
            <w:vAlign w:val="center"/>
            <w:hideMark/>
          </w:tcPr>
          <w:p w:rsidR="007D62AC" w:rsidRPr="00AB3495" w:rsidRDefault="007D62AC" w:rsidP="007D62AC">
            <w:pPr>
              <w:spacing w:after="0" w:line="240" w:lineRule="auto"/>
              <w:ind w:left="180" w:hanging="180"/>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Earnings attributable to Enbridge Inc. common shareholders</w:t>
            </w:r>
          </w:p>
        </w:tc>
        <w:tc>
          <w:tcPr>
            <w:tcW w:w="405"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07"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471"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611"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380"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21"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 </w:t>
            </w:r>
          </w:p>
        </w:tc>
        <w:tc>
          <w:tcPr>
            <w:tcW w:w="550"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301</w:t>
            </w:r>
          </w:p>
        </w:tc>
      </w:tr>
      <w:tr w:rsidR="007D62AC" w:rsidRPr="00AB3495" w:rsidTr="007D62AC">
        <w:trPr>
          <w:trHeight w:val="202"/>
        </w:trPr>
        <w:tc>
          <w:tcPr>
            <w:tcW w:w="1555" w:type="pct"/>
            <w:tcBorders>
              <w:top w:val="nil"/>
              <w:left w:val="nil"/>
              <w:bottom w:val="single" w:sz="12" w:space="0" w:color="auto"/>
              <w:right w:val="nil"/>
            </w:tcBorders>
            <w:shd w:val="clear" w:color="auto" w:fill="FFFFFF"/>
            <w:vAlign w:val="center"/>
            <w:hideMark/>
          </w:tcPr>
          <w:p w:rsidR="007D62AC" w:rsidRPr="00AB3495" w:rsidRDefault="007D62AC" w:rsidP="007D62AC">
            <w:pPr>
              <w:spacing w:after="0" w:line="240" w:lineRule="auto"/>
              <w:ind w:left="180" w:hanging="180"/>
              <w:rPr>
                <w:rFonts w:asciiTheme="minorHAnsi" w:eastAsia="Times New Roman" w:hAnsiTheme="minorHAnsi" w:cs="Times New Roman"/>
                <w:sz w:val="16"/>
                <w:szCs w:val="16"/>
              </w:rPr>
            </w:pPr>
            <w:r w:rsidRPr="00AB3495">
              <w:rPr>
                <w:rFonts w:asciiTheme="minorHAnsi" w:eastAsia="Times New Roman" w:hAnsiTheme="minorHAnsi" w:cs="Arial"/>
                <w:color w:val="000000"/>
                <w:sz w:val="16"/>
                <w:szCs w:val="16"/>
              </w:rPr>
              <w:t>Additions to property, plant and equipment1</w:t>
            </w:r>
          </w:p>
        </w:tc>
        <w:tc>
          <w:tcPr>
            <w:tcW w:w="405"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1,070</w:t>
            </w:r>
          </w:p>
        </w:tc>
        <w:tc>
          <w:tcPr>
            <w:tcW w:w="507"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144</w:t>
            </w:r>
          </w:p>
        </w:tc>
        <w:tc>
          <w:tcPr>
            <w:tcW w:w="471"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81</w:t>
            </w:r>
          </w:p>
        </w:tc>
        <w:tc>
          <w:tcPr>
            <w:tcW w:w="611"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10</w:t>
            </w:r>
          </w:p>
        </w:tc>
        <w:tc>
          <w:tcPr>
            <w:tcW w:w="380"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w:t>
            </w:r>
          </w:p>
        </w:tc>
        <w:tc>
          <w:tcPr>
            <w:tcW w:w="521"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10</w:t>
            </w:r>
          </w:p>
        </w:tc>
        <w:tc>
          <w:tcPr>
            <w:tcW w:w="550" w:type="pct"/>
            <w:tcBorders>
              <w:top w:val="nil"/>
              <w:left w:val="nil"/>
              <w:bottom w:val="single" w:sz="12" w:space="0" w:color="auto"/>
              <w:right w:val="nil"/>
            </w:tcBorders>
            <w:shd w:val="clear" w:color="auto" w:fill="D9D9D9"/>
            <w:vAlign w:val="bottom"/>
            <w:hideMark/>
          </w:tcPr>
          <w:p w:rsidR="007D62AC" w:rsidRPr="00AB3495" w:rsidRDefault="007D62AC" w:rsidP="007D62AC">
            <w:pPr>
              <w:spacing w:after="0" w:line="240" w:lineRule="auto"/>
              <w:ind w:right="115"/>
              <w:jc w:val="right"/>
              <w:rPr>
                <w:rFonts w:asciiTheme="minorHAnsi" w:eastAsia="Times New Roman" w:hAnsiTheme="minorHAnsi" w:cs="Times New Roman"/>
                <w:sz w:val="16"/>
                <w:szCs w:val="16"/>
              </w:rPr>
            </w:pPr>
            <w:r w:rsidRPr="00AB3495">
              <w:rPr>
                <w:rFonts w:asciiTheme="minorHAnsi" w:eastAsia="Times New Roman" w:hAnsiTheme="minorHAnsi" w:cs="Arial"/>
                <w:b/>
                <w:bCs/>
                <w:sz w:val="16"/>
                <w:szCs w:val="16"/>
              </w:rPr>
              <w:t>1,315</w:t>
            </w:r>
          </w:p>
        </w:tc>
      </w:tr>
    </w:tbl>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Arial"/>
          <w:sz w:val="16"/>
          <w:szCs w:val="16"/>
        </w:rPr>
        <w:t> </w:t>
      </w:r>
    </w:p>
    <w:p w:rsidR="007D62AC" w:rsidRPr="00AB3495" w:rsidRDefault="007D62AC" w:rsidP="007D62AC">
      <w:pPr>
        <w:spacing w:after="0" w:line="240" w:lineRule="auto"/>
        <w:rPr>
          <w:rFonts w:asciiTheme="minorHAnsi" w:eastAsia="Times New Roman" w:hAnsiTheme="minorHAnsi" w:cs="Times New Roman"/>
          <w:color w:val="000000"/>
          <w:sz w:val="16"/>
          <w:szCs w:val="16"/>
        </w:rPr>
      </w:pPr>
    </w:p>
    <w:p w:rsidR="007D62AC" w:rsidRDefault="007D62AC" w:rsidP="007D62AC">
      <w:pPr>
        <w:spacing w:after="0" w:line="240" w:lineRule="auto"/>
        <w:rPr>
          <w:rFonts w:asciiTheme="minorHAnsi" w:eastAsia="Times New Roman" w:hAnsiTheme="minorHAnsi" w:cs="Times New Roman"/>
          <w:color w:val="000000"/>
          <w:sz w:val="16"/>
          <w:szCs w:val="16"/>
        </w:rPr>
      </w:pPr>
    </w:p>
    <w:p w:rsidR="00786F4E" w:rsidRDefault="00786F4E" w:rsidP="007D62AC">
      <w:pPr>
        <w:spacing w:after="0" w:line="240" w:lineRule="auto"/>
        <w:rPr>
          <w:rFonts w:asciiTheme="minorHAnsi" w:eastAsia="Times New Roman" w:hAnsiTheme="minorHAnsi" w:cs="Times New Roman"/>
          <w:color w:val="000000"/>
          <w:sz w:val="16"/>
          <w:szCs w:val="16"/>
        </w:rPr>
      </w:pPr>
    </w:p>
    <w:p w:rsidR="00786F4E" w:rsidRDefault="00786F4E" w:rsidP="007D62AC">
      <w:pPr>
        <w:spacing w:after="0" w:line="240" w:lineRule="auto"/>
        <w:rPr>
          <w:rFonts w:asciiTheme="minorHAnsi" w:eastAsia="Times New Roman" w:hAnsiTheme="minorHAnsi" w:cs="Times New Roman"/>
          <w:color w:val="000000"/>
          <w:sz w:val="16"/>
          <w:szCs w:val="16"/>
        </w:rPr>
      </w:pPr>
    </w:p>
    <w:p w:rsidR="00786F4E" w:rsidRDefault="00786F4E" w:rsidP="007D62AC">
      <w:pPr>
        <w:spacing w:after="0" w:line="240" w:lineRule="auto"/>
        <w:rPr>
          <w:rFonts w:asciiTheme="minorHAnsi" w:eastAsia="Times New Roman" w:hAnsiTheme="minorHAnsi" w:cs="Times New Roman"/>
          <w:color w:val="000000"/>
          <w:sz w:val="16"/>
          <w:szCs w:val="16"/>
        </w:rPr>
      </w:pPr>
    </w:p>
    <w:p w:rsidR="00786F4E" w:rsidRDefault="00786F4E" w:rsidP="007D62AC">
      <w:pPr>
        <w:spacing w:after="0" w:line="240" w:lineRule="auto"/>
        <w:rPr>
          <w:rFonts w:asciiTheme="minorHAnsi" w:eastAsia="Times New Roman" w:hAnsiTheme="minorHAnsi" w:cs="Times New Roman"/>
          <w:color w:val="000000"/>
          <w:sz w:val="16"/>
          <w:szCs w:val="16"/>
        </w:rPr>
      </w:pPr>
    </w:p>
    <w:p w:rsidR="00786F4E" w:rsidRPr="00AB3495" w:rsidRDefault="00786F4E" w:rsidP="007D62AC">
      <w:pPr>
        <w:spacing w:after="0" w:line="240" w:lineRule="auto"/>
        <w:rPr>
          <w:rFonts w:asciiTheme="minorHAnsi" w:eastAsia="Times New Roman" w:hAnsiTheme="minorHAnsi" w:cs="Times New Roman"/>
          <w:color w:val="000000"/>
          <w:sz w:val="16"/>
          <w:szCs w:val="16"/>
        </w:rPr>
      </w:pPr>
    </w:p>
    <w:p w:rsidR="007D62AC" w:rsidRPr="00AB3495" w:rsidRDefault="007D62AC" w:rsidP="007D62AC">
      <w:pPr>
        <w:spacing w:after="0" w:line="240" w:lineRule="auto"/>
        <w:rPr>
          <w:rFonts w:asciiTheme="minorHAnsi" w:eastAsia="Times New Roman" w:hAnsiTheme="minorHAnsi" w:cs="Times New Roman"/>
          <w:color w:val="000000"/>
          <w:sz w:val="16"/>
          <w:szCs w:val="16"/>
        </w:rPr>
      </w:pPr>
    </w:p>
    <w:p w:rsidR="00AB3495" w:rsidRPr="00AB3495" w:rsidRDefault="00AB3495" w:rsidP="007D62AC">
      <w:pPr>
        <w:spacing w:after="0" w:line="240" w:lineRule="auto"/>
        <w:rPr>
          <w:rFonts w:asciiTheme="minorHAnsi" w:eastAsia="Times New Roman" w:hAnsiTheme="minorHAnsi" w:cs="Times New Roman"/>
          <w:color w:val="000000"/>
          <w:sz w:val="16"/>
          <w:szCs w:val="16"/>
        </w:rPr>
      </w:pPr>
      <w:r w:rsidRPr="00AB3495">
        <w:rPr>
          <w:rFonts w:asciiTheme="minorHAnsi" w:eastAsia="Times New Roman" w:hAnsiTheme="minorHAnsi" w:cs="Times New Roman"/>
          <w:color w:val="000000"/>
          <w:sz w:val="16"/>
          <w:szCs w:val="16"/>
        </w:rPr>
        <w:lastRenderedPageBreak/>
        <w:t xml:space="preserve">Example: </w:t>
      </w:r>
    </w:p>
    <w:p w:rsidR="00AB3495" w:rsidRPr="00AB3495" w:rsidRDefault="00AB3495" w:rsidP="007D62AC">
      <w:pPr>
        <w:spacing w:after="0" w:line="240" w:lineRule="auto"/>
        <w:rPr>
          <w:rFonts w:asciiTheme="minorHAnsi" w:eastAsia="Times New Roman" w:hAnsiTheme="minorHAnsi" w:cs="Times New Roman"/>
          <w:color w:val="000000"/>
          <w:sz w:val="16"/>
          <w:szCs w:val="16"/>
        </w:rPr>
      </w:pPr>
    </w:p>
    <w:p w:rsidR="007D62AC" w:rsidRPr="00AB3495" w:rsidRDefault="007D62AC" w:rsidP="007D62AC">
      <w:pPr>
        <w:spacing w:after="0" w:line="240" w:lineRule="auto"/>
        <w:rPr>
          <w:rFonts w:asciiTheme="minorHAnsi" w:eastAsia="Times New Roman" w:hAnsiTheme="minorHAnsi" w:cs="Times New Roman"/>
          <w:color w:val="000000"/>
          <w:sz w:val="16"/>
          <w:szCs w:val="16"/>
        </w:rPr>
      </w:pPr>
      <w:r w:rsidRPr="00AB3495">
        <w:rPr>
          <w:rFonts w:asciiTheme="minorHAnsi" w:eastAsia="Times New Roman" w:hAnsiTheme="minorHAnsi" w:cs="Times New Roman"/>
          <w:color w:val="000000"/>
          <w:sz w:val="16"/>
          <w:szCs w:val="16"/>
        </w:rPr>
        <w:t>Ladder Capital Corp CIK</w:t>
      </w:r>
      <w:proofErr w:type="gramStart"/>
      <w:r w:rsidRPr="00AB3495">
        <w:rPr>
          <w:rFonts w:asciiTheme="minorHAnsi" w:hAnsiTheme="minorHAnsi"/>
          <w:sz w:val="16"/>
          <w:szCs w:val="16"/>
        </w:rPr>
        <w:t xml:space="preserve">#  </w:t>
      </w:r>
      <w:r w:rsidRPr="00AB3495">
        <w:rPr>
          <w:rFonts w:asciiTheme="minorHAnsi" w:eastAsia="Times New Roman" w:hAnsiTheme="minorHAnsi" w:cs="Times New Roman"/>
          <w:color w:val="000000"/>
          <w:sz w:val="16"/>
          <w:szCs w:val="16"/>
        </w:rPr>
        <w:t>0001577670</w:t>
      </w:r>
      <w:proofErr w:type="gramEnd"/>
    </w:p>
    <w:p w:rsidR="007D62AC" w:rsidRPr="00AB3495" w:rsidRDefault="007D62AC" w:rsidP="002C1572">
      <w:pPr>
        <w:rPr>
          <w:rFonts w:asciiTheme="minorHAnsi" w:hAnsiTheme="minorHAnsi"/>
          <w:bCs/>
          <w:sz w:val="16"/>
          <w:szCs w:val="16"/>
        </w:rPr>
      </w:pPr>
    </w:p>
    <w:p w:rsidR="007D62AC" w:rsidRPr="00AB3495" w:rsidRDefault="007D62AC" w:rsidP="007D62AC">
      <w:pPr>
        <w:spacing w:after="0" w:line="240" w:lineRule="auto"/>
        <w:ind w:left="576" w:hanging="556"/>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18.                    SEGMENT REPORTING</w:t>
      </w:r>
    </w:p>
    <w:p w:rsidR="007D62AC" w:rsidRPr="00AB3495" w:rsidRDefault="007D62AC" w:rsidP="007D62AC">
      <w:pPr>
        <w:spacing w:after="0" w:line="240" w:lineRule="auto"/>
        <w:ind w:left="576" w:hanging="576"/>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p w:rsidR="007D62AC" w:rsidRPr="00AB3495" w:rsidRDefault="007D62AC" w:rsidP="007D62AC">
      <w:pPr>
        <w:spacing w:after="0" w:line="240" w:lineRule="auto"/>
        <w:ind w:left="54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The Company has determined that it has three reportable segments based on how management reviews and manages its business.  These reportable segments include Loans, Securities, and Real Estate.  The Loans segment includes mortgage loan receivables held for investment (balance sheet loans) and mortgage loan receivables held for sale (conduit loans).  The Securities segment is composed of all of the Company’s activities related to commercial real estate securities, which include investments in CMBS and U.S. Agency Securities.  The Real Estate segment includes selected net lease and other real estate assets.  Corporate/</w:t>
      </w:r>
      <w:proofErr w:type="gramStart"/>
      <w:r w:rsidRPr="00AB3495">
        <w:rPr>
          <w:rFonts w:asciiTheme="minorHAnsi" w:eastAsia="Times New Roman" w:hAnsiTheme="minorHAnsi" w:cs="Times New Roman"/>
          <w:sz w:val="16"/>
          <w:szCs w:val="16"/>
        </w:rPr>
        <w:t>Other</w:t>
      </w:r>
      <w:proofErr w:type="gramEnd"/>
      <w:r w:rsidRPr="00AB3495">
        <w:rPr>
          <w:rFonts w:asciiTheme="minorHAnsi" w:eastAsia="Times New Roman" w:hAnsiTheme="minorHAnsi" w:cs="Times New Roman"/>
          <w:sz w:val="16"/>
          <w:szCs w:val="16"/>
        </w:rPr>
        <w:t xml:space="preserve"> includes our investments in joint ventures, other asset management activities and operating expenses.</w:t>
      </w:r>
    </w:p>
    <w:p w:rsidR="007D62AC" w:rsidRPr="00AB3495" w:rsidRDefault="007D62AC" w:rsidP="007D62AC">
      <w:pPr>
        <w:spacing w:after="0" w:line="240" w:lineRule="auto"/>
        <w:ind w:left="54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p w:rsidR="007D62AC" w:rsidRPr="00AB3495" w:rsidRDefault="007D62AC" w:rsidP="007D62AC">
      <w:pPr>
        <w:spacing w:after="0" w:line="240" w:lineRule="auto"/>
        <w:ind w:left="547"/>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The Company evaluates performance based on the following financial measures for each segment ($ in thousands):</w:t>
      </w:r>
    </w:p>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bl>
      <w:tblPr>
        <w:tblW w:w="4639" w:type="pct"/>
        <w:tblInd w:w="540" w:type="dxa"/>
        <w:tblCellMar>
          <w:left w:w="0" w:type="dxa"/>
          <w:right w:w="0" w:type="dxa"/>
        </w:tblCellMar>
        <w:tblLook w:val="04A0" w:firstRow="1" w:lastRow="0" w:firstColumn="1" w:lastColumn="0" w:noHBand="0" w:noVBand="1"/>
      </w:tblPr>
      <w:tblGrid>
        <w:gridCol w:w="2214"/>
        <w:gridCol w:w="234"/>
        <w:gridCol w:w="113"/>
        <w:gridCol w:w="688"/>
        <w:gridCol w:w="233"/>
        <w:gridCol w:w="113"/>
        <w:gridCol w:w="745"/>
        <w:gridCol w:w="233"/>
        <w:gridCol w:w="113"/>
        <w:gridCol w:w="823"/>
        <w:gridCol w:w="233"/>
        <w:gridCol w:w="113"/>
        <w:gridCol w:w="1259"/>
        <w:gridCol w:w="233"/>
        <w:gridCol w:w="113"/>
        <w:gridCol w:w="1089"/>
        <w:gridCol w:w="135"/>
      </w:tblGrid>
      <w:tr w:rsidR="007D62AC" w:rsidRPr="00AB3495" w:rsidTr="007D62AC">
        <w:tc>
          <w:tcPr>
            <w:tcW w:w="127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135" w:type="pct"/>
            <w:vAlign w:val="bottom"/>
            <w:hideMark/>
          </w:tcPr>
          <w:p w:rsidR="007D62AC" w:rsidRPr="00AB3495" w:rsidRDefault="007D62AC" w:rsidP="007D62AC">
            <w:pPr>
              <w:spacing w:after="0" w:line="240" w:lineRule="auto"/>
              <w:jc w:val="center"/>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461"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center"/>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Loans</w:t>
            </w:r>
          </w:p>
        </w:tc>
        <w:tc>
          <w:tcPr>
            <w:tcW w:w="134" w:type="pct"/>
            <w:vAlign w:val="bottom"/>
            <w:hideMark/>
          </w:tcPr>
          <w:p w:rsidR="007D62AC" w:rsidRPr="00AB3495" w:rsidRDefault="007D62AC" w:rsidP="007D62AC">
            <w:pPr>
              <w:spacing w:after="0" w:line="240" w:lineRule="auto"/>
              <w:jc w:val="center"/>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494"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center"/>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Securities</w:t>
            </w:r>
          </w:p>
        </w:tc>
        <w:tc>
          <w:tcPr>
            <w:tcW w:w="134" w:type="pct"/>
            <w:vAlign w:val="bottom"/>
            <w:hideMark/>
          </w:tcPr>
          <w:p w:rsidR="007D62AC" w:rsidRPr="00AB3495" w:rsidRDefault="007D62AC" w:rsidP="007D62AC">
            <w:pPr>
              <w:spacing w:after="0" w:line="240" w:lineRule="auto"/>
              <w:jc w:val="center"/>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539"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center"/>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Real Estate</w:t>
            </w:r>
          </w:p>
        </w:tc>
        <w:tc>
          <w:tcPr>
            <w:tcW w:w="134" w:type="pct"/>
            <w:vAlign w:val="bottom"/>
            <w:hideMark/>
          </w:tcPr>
          <w:p w:rsidR="007D62AC" w:rsidRPr="00AB3495" w:rsidRDefault="007D62AC" w:rsidP="007D62AC">
            <w:pPr>
              <w:spacing w:after="0" w:line="240" w:lineRule="auto"/>
              <w:jc w:val="center"/>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790"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center"/>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Corporate/Other(1)</w:t>
            </w:r>
          </w:p>
        </w:tc>
        <w:tc>
          <w:tcPr>
            <w:tcW w:w="134" w:type="pct"/>
            <w:vAlign w:val="bottom"/>
            <w:hideMark/>
          </w:tcPr>
          <w:p w:rsidR="007D62AC" w:rsidRPr="00AB3495" w:rsidRDefault="007D62AC" w:rsidP="007D62AC">
            <w:pPr>
              <w:spacing w:after="0" w:line="240" w:lineRule="auto"/>
              <w:jc w:val="center"/>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692"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center"/>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Company Total</w:t>
            </w:r>
          </w:p>
        </w:tc>
        <w:tc>
          <w:tcPr>
            <w:tcW w:w="78" w:type="pct"/>
            <w:vAlign w:val="bottom"/>
            <w:hideMark/>
          </w:tcPr>
          <w:p w:rsidR="007D62AC" w:rsidRPr="00AB3495" w:rsidRDefault="007D62AC" w:rsidP="007D62AC">
            <w:pPr>
              <w:spacing w:after="0" w:line="240" w:lineRule="auto"/>
              <w:jc w:val="center"/>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Three months ended March 31, 2014</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8"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Interest income</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396" w:type="pct"/>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20,309</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429" w:type="pct"/>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16,505</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474" w:type="pct"/>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725" w:type="pct"/>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8</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627" w:type="pct"/>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36,822</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Interest expense</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(2,188</w:t>
            </w:r>
          </w:p>
        </w:tc>
        <w:tc>
          <w:tcPr>
            <w:tcW w:w="134" w:type="pct"/>
            <w:shd w:val="clear" w:color="auto" w:fill="CCEEFF"/>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494"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(1,265</w:t>
            </w:r>
          </w:p>
        </w:tc>
        <w:tc>
          <w:tcPr>
            <w:tcW w:w="134" w:type="pct"/>
            <w:shd w:val="clear" w:color="auto" w:fill="CCEEFF"/>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539"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(3,331</w:t>
            </w:r>
          </w:p>
        </w:tc>
        <w:tc>
          <w:tcPr>
            <w:tcW w:w="134" w:type="pct"/>
            <w:shd w:val="clear" w:color="auto" w:fill="CCEEFF"/>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790"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(8,057</w:t>
            </w:r>
          </w:p>
        </w:tc>
        <w:tc>
          <w:tcPr>
            <w:tcW w:w="134" w:type="pct"/>
            <w:shd w:val="clear" w:color="auto" w:fill="CCEEFF"/>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692"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(14,841</w:t>
            </w:r>
          </w:p>
        </w:tc>
        <w:tc>
          <w:tcPr>
            <w:tcW w:w="78" w:type="pct"/>
            <w:shd w:val="clear" w:color="auto" w:fill="CCEEFF"/>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Net interest income (expense)</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18,121</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15,240</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(3,331</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790"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(8,049</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692"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21,981</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Provision for loan losses</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(150</w:t>
            </w:r>
          </w:p>
        </w:tc>
        <w:tc>
          <w:tcPr>
            <w:tcW w:w="134" w:type="pct"/>
            <w:shd w:val="clear" w:color="auto" w:fill="CCEEFF"/>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494"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(150</w:t>
            </w:r>
          </w:p>
        </w:tc>
        <w:tc>
          <w:tcPr>
            <w:tcW w:w="78" w:type="pct"/>
            <w:shd w:val="clear" w:color="auto" w:fill="CCEEFF"/>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Net interest income (expense) after provision for loan losses</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17,971</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15,240</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(3,331</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790"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(8,049</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692"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21,831</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461"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494"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539"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790"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692"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c>
          <w:tcPr>
            <w:tcW w:w="78"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b/>
                <w:bCs/>
                <w:sz w:val="16"/>
                <w:szCs w:val="16"/>
              </w:rPr>
              <w:t> </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Operating lease income</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13,213</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13,213</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Tenant recoveries</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2,080</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2,080</w:t>
            </w:r>
          </w:p>
        </w:tc>
        <w:tc>
          <w:tcPr>
            <w:tcW w:w="78"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Sale of loans, net</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41,303</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41,303</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Gain on securities</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1,809</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1,809</w:t>
            </w:r>
          </w:p>
        </w:tc>
        <w:tc>
          <w:tcPr>
            <w:tcW w:w="78"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Sale of real estate, net</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347</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6,346</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6,693</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Fee income</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665</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91</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1,553</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2,309</w:t>
            </w:r>
          </w:p>
        </w:tc>
        <w:tc>
          <w:tcPr>
            <w:tcW w:w="78"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Net result from derivative transactions</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(10,742</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494"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(15,544</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539"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(26,287</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Earnings from investment in unconsolidated joint ventures</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348</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348</w:t>
            </w:r>
          </w:p>
        </w:tc>
        <w:tc>
          <w:tcPr>
            <w:tcW w:w="78"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Unrealized gain (loss) on Agency interest-only securities, net</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(1,034</w:t>
            </w:r>
          </w:p>
        </w:tc>
        <w:tc>
          <w:tcPr>
            <w:tcW w:w="134" w:type="pct"/>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539"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(1,034</w:t>
            </w:r>
          </w:p>
        </w:tc>
        <w:tc>
          <w:tcPr>
            <w:tcW w:w="78" w:type="pct"/>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Total other income</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31,573</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(14,678</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539"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21,987</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1,553</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40,434</w:t>
            </w:r>
          </w:p>
        </w:tc>
        <w:tc>
          <w:tcPr>
            <w:tcW w:w="78"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Salaries and employee benefits</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(6,300</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494"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(13,703</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692"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(20,003</w:t>
            </w:r>
          </w:p>
        </w:tc>
        <w:tc>
          <w:tcPr>
            <w:tcW w:w="78"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highlight w:val="yellow"/>
              </w:rPr>
            </w:pPr>
            <w:r w:rsidRPr="00AB3495">
              <w:rPr>
                <w:rFonts w:asciiTheme="minorHAnsi" w:eastAsia="Times New Roman" w:hAnsiTheme="minorHAnsi" w:cs="Times New Roman"/>
                <w:sz w:val="16"/>
                <w:szCs w:val="16"/>
                <w:highlight w:val="yellow"/>
              </w:rPr>
              <w:t>Operating expenses</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highlight w:val="yellow"/>
              </w:rPr>
            </w:pPr>
            <w:r w:rsidRPr="00AB3495">
              <w:rPr>
                <w:rFonts w:asciiTheme="minorHAnsi" w:eastAsia="Times New Roman" w:hAnsiTheme="minorHAnsi" w:cs="Times New Roman"/>
                <w:sz w:val="16"/>
                <w:szCs w:val="16"/>
                <w:highlight w:val="yellow"/>
              </w:rPr>
              <w:t> </w:t>
            </w:r>
          </w:p>
        </w:tc>
        <w:tc>
          <w:tcPr>
            <w:tcW w:w="461"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highlight w:val="yellow"/>
              </w:rPr>
            </w:pPr>
            <w:r w:rsidRPr="00AB3495">
              <w:rPr>
                <w:rFonts w:asciiTheme="minorHAnsi" w:eastAsia="Times New Roman" w:hAnsiTheme="minorHAnsi" w:cs="Times New Roman"/>
                <w:sz w:val="16"/>
                <w:szCs w:val="16"/>
                <w:highlight w:val="yellow"/>
              </w:rPr>
              <w:t>41</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highlight w:val="yellow"/>
              </w:rPr>
            </w:pPr>
            <w:r w:rsidRPr="00AB3495">
              <w:rPr>
                <w:rFonts w:asciiTheme="minorHAnsi" w:eastAsia="Times New Roman" w:hAnsiTheme="minorHAnsi" w:cs="Times New Roman"/>
                <w:sz w:val="16"/>
                <w:szCs w:val="16"/>
                <w:highlight w:val="yellow"/>
              </w:rPr>
              <w:t> </w:t>
            </w:r>
          </w:p>
        </w:tc>
        <w:tc>
          <w:tcPr>
            <w:tcW w:w="494"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highlight w:val="yellow"/>
              </w:rPr>
            </w:pPr>
            <w:r w:rsidRPr="00AB3495">
              <w:rPr>
                <w:rFonts w:asciiTheme="minorHAnsi" w:eastAsia="Times New Roman" w:hAnsiTheme="minorHAnsi" w:cs="Times New Roman"/>
                <w:sz w:val="16"/>
                <w:szCs w:val="16"/>
                <w:highlight w:val="yellow"/>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highlight w:val="yellow"/>
              </w:rPr>
            </w:pPr>
            <w:r w:rsidRPr="00AB3495">
              <w:rPr>
                <w:rFonts w:asciiTheme="minorHAnsi" w:eastAsia="Times New Roman" w:hAnsiTheme="minorHAnsi" w:cs="Times New Roman"/>
                <w:sz w:val="16"/>
                <w:szCs w:val="16"/>
                <w:highlight w:val="yellow"/>
              </w:rPr>
              <w:t> </w:t>
            </w:r>
          </w:p>
        </w:tc>
        <w:tc>
          <w:tcPr>
            <w:tcW w:w="539"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highlight w:val="yellow"/>
              </w:rPr>
            </w:pPr>
            <w:r w:rsidRPr="00AB3495">
              <w:rPr>
                <w:rFonts w:asciiTheme="minorHAnsi" w:eastAsia="Times New Roman" w:hAnsiTheme="minorHAnsi" w:cs="Times New Roman"/>
                <w:sz w:val="16"/>
                <w:szCs w:val="16"/>
                <w:highlight w:val="yellow"/>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highlight w:val="yellow"/>
              </w:rPr>
            </w:pPr>
            <w:r w:rsidRPr="00AB3495">
              <w:rPr>
                <w:rFonts w:asciiTheme="minorHAnsi" w:eastAsia="Times New Roman" w:hAnsiTheme="minorHAnsi" w:cs="Times New Roman"/>
                <w:sz w:val="16"/>
                <w:szCs w:val="16"/>
                <w:highlight w:val="yellow"/>
              </w:rPr>
              <w:t> </w:t>
            </w:r>
          </w:p>
        </w:tc>
        <w:tc>
          <w:tcPr>
            <w:tcW w:w="790"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highlight w:val="yellow"/>
              </w:rPr>
            </w:pPr>
            <w:r w:rsidRPr="00AB3495">
              <w:rPr>
                <w:rFonts w:asciiTheme="minorHAnsi" w:eastAsia="Times New Roman" w:hAnsiTheme="minorHAnsi" w:cs="Times New Roman"/>
                <w:sz w:val="16"/>
                <w:szCs w:val="16"/>
                <w:highlight w:val="yellow"/>
              </w:rPr>
              <w:t>(3,082</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highlight w:val="yellow"/>
              </w:rPr>
            </w:pPr>
            <w:r w:rsidRPr="00AB3495">
              <w:rPr>
                <w:rFonts w:asciiTheme="minorHAnsi" w:eastAsia="Times New Roman" w:hAnsiTheme="minorHAnsi" w:cs="Times New Roman"/>
                <w:sz w:val="16"/>
                <w:szCs w:val="16"/>
                <w:highlight w:val="yellow"/>
              </w:rPr>
              <w:t>)</w:t>
            </w:r>
          </w:p>
        </w:tc>
        <w:tc>
          <w:tcPr>
            <w:tcW w:w="692"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highlight w:val="yellow"/>
              </w:rPr>
            </w:pPr>
            <w:r w:rsidRPr="00AB3495">
              <w:rPr>
                <w:rFonts w:asciiTheme="minorHAnsi" w:eastAsia="Times New Roman" w:hAnsiTheme="minorHAnsi" w:cs="Times New Roman"/>
                <w:sz w:val="16"/>
                <w:szCs w:val="16"/>
                <w:highlight w:val="yellow"/>
              </w:rPr>
              <w:t>(3,041</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Real estate operating expenses</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(7,602</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790"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(7,602</w:t>
            </w:r>
          </w:p>
        </w:tc>
        <w:tc>
          <w:tcPr>
            <w:tcW w:w="78"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Fee expense</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(303</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494"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(22</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539"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(17</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790"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(160</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692"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(502</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Depreciation and amortization</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(7,290</w:t>
            </w:r>
          </w:p>
        </w:tc>
        <w:tc>
          <w:tcPr>
            <w:tcW w:w="134" w:type="pct"/>
            <w:shd w:val="clear" w:color="auto" w:fill="CCEEFF"/>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790"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(137</w:t>
            </w:r>
          </w:p>
        </w:tc>
        <w:tc>
          <w:tcPr>
            <w:tcW w:w="134" w:type="pct"/>
            <w:shd w:val="clear" w:color="auto" w:fill="CCEEFF"/>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692" w:type="pct"/>
            <w:gridSpan w:val="2"/>
            <w:tcBorders>
              <w:top w:val="nil"/>
              <w:left w:val="nil"/>
              <w:bottom w:val="single" w:sz="8" w:space="0" w:color="auto"/>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(7,427</w:t>
            </w:r>
          </w:p>
        </w:tc>
        <w:tc>
          <w:tcPr>
            <w:tcW w:w="78" w:type="pct"/>
            <w:shd w:val="clear" w:color="auto" w:fill="CCEEFF"/>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Total costs and expenses</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(6,562</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494"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(22</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539"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(14,909</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790"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(17,082</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692" w:type="pct"/>
            <w:gridSpan w:val="2"/>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(38,575</w:t>
            </w:r>
          </w:p>
        </w:tc>
        <w:tc>
          <w:tcPr>
            <w:tcW w:w="78"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92" w:type="pct"/>
            <w:gridSpan w:val="2"/>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8"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r>
      <w:tr w:rsidR="007D62AC" w:rsidRPr="00AB3495" w:rsidTr="007D62AC">
        <w:tc>
          <w:tcPr>
            <w:tcW w:w="1274" w:type="pct"/>
            <w:vAlign w:val="bottom"/>
            <w:hideMark/>
          </w:tcPr>
          <w:p w:rsidR="007D62AC" w:rsidRPr="00AB3495" w:rsidRDefault="007D62AC" w:rsidP="007D62AC">
            <w:pPr>
              <w:spacing w:after="0" w:line="240" w:lineRule="auto"/>
              <w:ind w:left="2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Tax expense</w:t>
            </w:r>
          </w:p>
        </w:tc>
        <w:tc>
          <w:tcPr>
            <w:tcW w:w="135"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61"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494"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539"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134" w:type="pct"/>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790"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(5,289</w:t>
            </w:r>
          </w:p>
        </w:tc>
        <w:tc>
          <w:tcPr>
            <w:tcW w:w="134" w:type="pct"/>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692" w:type="pct"/>
            <w:gridSpan w:val="2"/>
            <w:tcBorders>
              <w:top w:val="nil"/>
              <w:left w:val="nil"/>
              <w:bottom w:val="single" w:sz="8" w:space="0" w:color="auto"/>
              <w:right w:val="nil"/>
            </w:tcBorders>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(5,289</w:t>
            </w:r>
          </w:p>
        </w:tc>
        <w:tc>
          <w:tcPr>
            <w:tcW w:w="78" w:type="pct"/>
            <w:tcMar>
              <w:top w:w="0" w:type="dxa"/>
              <w:left w:w="0" w:type="dxa"/>
              <w:bottom w:w="8" w:type="dxa"/>
              <w:right w:w="0" w:type="dxa"/>
            </w:tcMar>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r>
      <w:tr w:rsidR="007D62AC" w:rsidRPr="00AB3495" w:rsidTr="007D62AC">
        <w:tc>
          <w:tcPr>
            <w:tcW w:w="1274" w:type="pct"/>
            <w:shd w:val="clear" w:color="auto" w:fill="CCEEFF"/>
            <w:vAlign w:val="bottom"/>
            <w:hideMark/>
          </w:tcPr>
          <w:p w:rsidR="007D62AC" w:rsidRPr="00AB3495" w:rsidRDefault="007D62AC" w:rsidP="007D62AC">
            <w:pPr>
              <w:spacing w:after="0" w:line="240" w:lineRule="auto"/>
              <w:ind w:left="400" w:hanging="200"/>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Segment profit (loss)</w:t>
            </w:r>
          </w:p>
        </w:tc>
        <w:tc>
          <w:tcPr>
            <w:tcW w:w="13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396" w:type="pct"/>
            <w:tcBorders>
              <w:top w:val="single" w:sz="8" w:space="0" w:color="auto"/>
              <w:left w:val="nil"/>
              <w:bottom w:val="nil"/>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42,982</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429" w:type="pct"/>
            <w:tcBorders>
              <w:top w:val="single" w:sz="8" w:space="0" w:color="auto"/>
              <w:left w:val="nil"/>
              <w:bottom w:val="nil"/>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540</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474" w:type="pct"/>
            <w:tcBorders>
              <w:top w:val="single" w:sz="8" w:space="0" w:color="auto"/>
              <w:left w:val="nil"/>
              <w:bottom w:val="nil"/>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3,747</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 </w:t>
            </w:r>
          </w:p>
        </w:tc>
        <w:tc>
          <w:tcPr>
            <w:tcW w:w="6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725" w:type="pct"/>
            <w:tcBorders>
              <w:top w:val="single" w:sz="8" w:space="0" w:color="auto"/>
              <w:left w:val="nil"/>
              <w:bottom w:val="nil"/>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(28,867</w:t>
            </w:r>
          </w:p>
        </w:tc>
        <w:tc>
          <w:tcPr>
            <w:tcW w:w="134"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65" w:type="pct"/>
            <w:shd w:val="clear" w:color="auto" w:fill="CCEEFF"/>
            <w:vAlign w:val="bottom"/>
            <w:hideMark/>
          </w:tcPr>
          <w:p w:rsidR="007D62AC" w:rsidRPr="00AB3495" w:rsidRDefault="007D62AC" w:rsidP="007D62AC">
            <w:pPr>
              <w:spacing w:after="0" w:line="240" w:lineRule="auto"/>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w:t>
            </w:r>
          </w:p>
        </w:tc>
        <w:tc>
          <w:tcPr>
            <w:tcW w:w="627" w:type="pct"/>
            <w:tcBorders>
              <w:top w:val="single" w:sz="8" w:space="0" w:color="auto"/>
              <w:left w:val="nil"/>
              <w:bottom w:val="nil"/>
              <w:right w:val="nil"/>
            </w:tcBorders>
            <w:shd w:val="clear" w:color="auto" w:fill="CCEEFF"/>
            <w:vAlign w:val="bottom"/>
            <w:hideMark/>
          </w:tcPr>
          <w:p w:rsidR="007D62AC" w:rsidRPr="00AB3495" w:rsidRDefault="007D62AC" w:rsidP="007D62AC">
            <w:pPr>
              <w:spacing w:after="0" w:line="240" w:lineRule="auto"/>
              <w:jc w:val="right"/>
              <w:rPr>
                <w:rFonts w:asciiTheme="minorHAnsi" w:eastAsia="Times New Roman" w:hAnsiTheme="minorHAnsi" w:cs="Times New Roman"/>
                <w:sz w:val="16"/>
                <w:szCs w:val="16"/>
              </w:rPr>
            </w:pPr>
            <w:r w:rsidRPr="00AB3495">
              <w:rPr>
                <w:rFonts w:asciiTheme="minorHAnsi" w:eastAsia="Times New Roman" w:hAnsiTheme="minorHAnsi" w:cs="Times New Roman"/>
                <w:sz w:val="16"/>
                <w:szCs w:val="16"/>
              </w:rPr>
              <w:t>18,401</w:t>
            </w:r>
          </w:p>
        </w:tc>
        <w:tc>
          <w:tcPr>
            <w:tcW w:w="0" w:type="auto"/>
            <w:vAlign w:val="center"/>
            <w:hideMark/>
          </w:tcPr>
          <w:p w:rsidR="007D62AC" w:rsidRPr="00AB3495" w:rsidRDefault="007D62AC" w:rsidP="007D62AC">
            <w:pPr>
              <w:spacing w:after="0" w:line="240" w:lineRule="auto"/>
              <w:rPr>
                <w:rFonts w:asciiTheme="minorHAnsi" w:eastAsia="Times New Roman" w:hAnsiTheme="minorHAnsi" w:cs="Times New Roman"/>
                <w:sz w:val="16"/>
                <w:szCs w:val="16"/>
              </w:rPr>
            </w:pPr>
          </w:p>
        </w:tc>
      </w:tr>
    </w:tbl>
    <w:p w:rsidR="007D62AC" w:rsidRPr="00AB3495" w:rsidRDefault="007D62AC" w:rsidP="002C1572">
      <w:pPr>
        <w:rPr>
          <w:rFonts w:asciiTheme="minorHAnsi" w:hAnsiTheme="minorHAnsi"/>
          <w:bCs/>
          <w:sz w:val="16"/>
          <w:szCs w:val="16"/>
        </w:rPr>
      </w:pPr>
    </w:p>
    <w:sectPr w:rsidR="007D62AC" w:rsidRPr="00AB3495" w:rsidSect="0086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12392"/>
    <w:multiLevelType w:val="hybridMultilevel"/>
    <w:tmpl w:val="4B0EDB0C"/>
    <w:lvl w:ilvl="0" w:tplc="3A58A60A">
      <w:numFmt w:val="bullet"/>
      <w:lvlText w:val=""/>
      <w:lvlJc w:val="left"/>
      <w:pPr>
        <w:ind w:left="1275" w:hanging="915"/>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A1C02"/>
    <w:multiLevelType w:val="hybridMultilevel"/>
    <w:tmpl w:val="41D01FA0"/>
    <w:lvl w:ilvl="0" w:tplc="04090001">
      <w:start w:val="1"/>
      <w:numFmt w:val="bullet"/>
      <w:lvlText w:val=""/>
      <w:lvlJc w:val="left"/>
      <w:pPr>
        <w:ind w:left="1635" w:hanging="91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ED65868"/>
    <w:multiLevelType w:val="hybridMultilevel"/>
    <w:tmpl w:val="B3C40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43112F"/>
    <w:multiLevelType w:val="hybridMultilevel"/>
    <w:tmpl w:val="B4EC4E2E"/>
    <w:lvl w:ilvl="0" w:tplc="3A58A60A">
      <w:numFmt w:val="bullet"/>
      <w:lvlText w:val=""/>
      <w:lvlJc w:val="left"/>
      <w:pPr>
        <w:ind w:left="1635" w:hanging="915"/>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4D"/>
    <w:rsid w:val="00005A4E"/>
    <w:rsid w:val="0001719C"/>
    <w:rsid w:val="00032F81"/>
    <w:rsid w:val="001304C7"/>
    <w:rsid w:val="00131BB7"/>
    <w:rsid w:val="00196E7A"/>
    <w:rsid w:val="00245E0C"/>
    <w:rsid w:val="002C1572"/>
    <w:rsid w:val="002C5E6A"/>
    <w:rsid w:val="002E206A"/>
    <w:rsid w:val="002E78B9"/>
    <w:rsid w:val="00316976"/>
    <w:rsid w:val="00384B76"/>
    <w:rsid w:val="004A7DBD"/>
    <w:rsid w:val="004B1B39"/>
    <w:rsid w:val="00543443"/>
    <w:rsid w:val="00573E01"/>
    <w:rsid w:val="005760EF"/>
    <w:rsid w:val="00594F18"/>
    <w:rsid w:val="0061552B"/>
    <w:rsid w:val="00646769"/>
    <w:rsid w:val="007451A3"/>
    <w:rsid w:val="00786F4E"/>
    <w:rsid w:val="007D62AC"/>
    <w:rsid w:val="00813E99"/>
    <w:rsid w:val="0085471B"/>
    <w:rsid w:val="008626DD"/>
    <w:rsid w:val="008C6864"/>
    <w:rsid w:val="0091742A"/>
    <w:rsid w:val="00943379"/>
    <w:rsid w:val="009A3DBF"/>
    <w:rsid w:val="009E47B6"/>
    <w:rsid w:val="00A022F9"/>
    <w:rsid w:val="00A1405A"/>
    <w:rsid w:val="00A42BB3"/>
    <w:rsid w:val="00AB3495"/>
    <w:rsid w:val="00AE3FDC"/>
    <w:rsid w:val="00BF2D96"/>
    <w:rsid w:val="00C43CA0"/>
    <w:rsid w:val="00D25FCA"/>
    <w:rsid w:val="00D3205C"/>
    <w:rsid w:val="00E83747"/>
    <w:rsid w:val="00E87C4D"/>
    <w:rsid w:val="00EE2CC8"/>
    <w:rsid w:val="00F7491E"/>
    <w:rsid w:val="00FC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BB254-BA30-47EB-AD07-DC28864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E7A"/>
    <w:rPr>
      <w:rFonts w:ascii="Times New Roman" w:hAnsi="Times New Roman"/>
      <w:sz w:val="20"/>
    </w:rPr>
  </w:style>
  <w:style w:type="paragraph" w:styleId="Heading1">
    <w:name w:val="heading 1"/>
    <w:basedOn w:val="Normal"/>
    <w:next w:val="Normal"/>
    <w:link w:val="Heading1Char"/>
    <w:uiPriority w:val="9"/>
    <w:qFormat/>
    <w:rsid w:val="00594F18"/>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94F18"/>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594F18"/>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F18"/>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594F18"/>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semiHidden/>
    <w:rsid w:val="00594F18"/>
    <w:rPr>
      <w:rFonts w:asciiTheme="majorHAnsi" w:eastAsiaTheme="majorEastAsia" w:hAnsiTheme="majorHAnsi" w:cstheme="majorBidi"/>
      <w:b/>
      <w:bCs/>
      <w:sz w:val="20"/>
    </w:rPr>
  </w:style>
  <w:style w:type="character" w:customStyle="1" w:styleId="companyname2">
    <w:name w:val="companyname2"/>
    <w:basedOn w:val="DefaultParagraphFont"/>
    <w:rsid w:val="00E87C4D"/>
    <w:rPr>
      <w:b/>
      <w:bCs/>
      <w:vanish w:val="0"/>
      <w:webHidden w:val="0"/>
      <w:sz w:val="23"/>
      <w:szCs w:val="23"/>
      <w:specVanish w:val="0"/>
    </w:rPr>
  </w:style>
  <w:style w:type="character" w:styleId="HTMLAcronym">
    <w:name w:val="HTML Acronym"/>
    <w:basedOn w:val="DefaultParagraphFont"/>
    <w:uiPriority w:val="99"/>
    <w:semiHidden/>
    <w:unhideWhenUsed/>
    <w:rsid w:val="00E87C4D"/>
  </w:style>
  <w:style w:type="paragraph" w:styleId="NormalWeb">
    <w:name w:val="Normal (Web)"/>
    <w:basedOn w:val="Normal"/>
    <w:uiPriority w:val="99"/>
    <w:semiHidden/>
    <w:unhideWhenUsed/>
    <w:rsid w:val="00E87C4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B3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38656">
      <w:bodyDiv w:val="1"/>
      <w:marLeft w:val="0"/>
      <w:marRight w:val="0"/>
      <w:marTop w:val="0"/>
      <w:marBottom w:val="0"/>
      <w:divBdr>
        <w:top w:val="none" w:sz="0" w:space="0" w:color="auto"/>
        <w:left w:val="none" w:sz="0" w:space="0" w:color="auto"/>
        <w:bottom w:val="none" w:sz="0" w:space="0" w:color="auto"/>
        <w:right w:val="none" w:sz="0" w:space="0" w:color="auto"/>
      </w:divBdr>
      <w:divsChild>
        <w:div w:id="1307515803">
          <w:marLeft w:val="0"/>
          <w:marRight w:val="0"/>
          <w:marTop w:val="0"/>
          <w:marBottom w:val="0"/>
          <w:divBdr>
            <w:top w:val="none" w:sz="0" w:space="0" w:color="auto"/>
            <w:left w:val="none" w:sz="0" w:space="0" w:color="auto"/>
            <w:bottom w:val="none" w:sz="0" w:space="0" w:color="auto"/>
            <w:right w:val="none" w:sz="0" w:space="0" w:color="auto"/>
          </w:divBdr>
        </w:div>
      </w:divsChild>
    </w:div>
    <w:div w:id="2062751443">
      <w:bodyDiv w:val="1"/>
      <w:marLeft w:val="0"/>
      <w:marRight w:val="0"/>
      <w:marTop w:val="0"/>
      <w:marBottom w:val="0"/>
      <w:divBdr>
        <w:top w:val="none" w:sz="0" w:space="0" w:color="auto"/>
        <w:left w:val="none" w:sz="0" w:space="0" w:color="auto"/>
        <w:bottom w:val="none" w:sz="0" w:space="0" w:color="auto"/>
        <w:right w:val="none" w:sz="0" w:space="0" w:color="auto"/>
      </w:divBdr>
      <w:divsChild>
        <w:div w:id="153134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Wavrin, Shelly</dc:creator>
  <cp:keywords/>
  <dc:description/>
  <cp:lastModifiedBy>Wavrin, Shelly</cp:lastModifiedBy>
  <cp:revision>2</cp:revision>
  <dcterms:created xsi:type="dcterms:W3CDTF">2016-08-25T17:48:00Z</dcterms:created>
  <dcterms:modified xsi:type="dcterms:W3CDTF">2016-08-25T17:48:00Z</dcterms:modified>
</cp:coreProperties>
</file>