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EF" w:rsidRPr="002C1572" w:rsidRDefault="005760EF" w:rsidP="005760EF">
      <w:pPr>
        <w:rPr>
          <w:rFonts w:asciiTheme="minorHAnsi" w:hAnsiTheme="minorHAnsi"/>
          <w:sz w:val="22"/>
        </w:rPr>
      </w:pPr>
      <w:r w:rsidRPr="002C1572">
        <w:rPr>
          <w:rFonts w:asciiTheme="minorHAnsi" w:hAnsiTheme="minorHAnsi"/>
          <w:b/>
          <w:sz w:val="22"/>
        </w:rPr>
        <w:t xml:space="preserve">DQC_0015 </w:t>
      </w:r>
      <w:r w:rsidRPr="002C1572">
        <w:rPr>
          <w:rFonts w:asciiTheme="minorHAnsi" w:hAnsiTheme="minorHAnsi" w:cs="Helvetica"/>
          <w:b/>
          <w:bCs/>
          <w:kern w:val="36"/>
          <w:sz w:val="22"/>
        </w:rPr>
        <w:t>Negative Values</w:t>
      </w:r>
      <w:r w:rsidRPr="002C1572">
        <w:rPr>
          <w:rFonts w:asciiTheme="minorHAnsi" w:hAnsiTheme="minorHAnsi"/>
          <w:b/>
          <w:sz w:val="22"/>
        </w:rPr>
        <w:t>:</w:t>
      </w:r>
      <w:r w:rsidRPr="002C1572">
        <w:rPr>
          <w:rFonts w:asciiTheme="minorHAnsi" w:hAnsiTheme="minorHAnsi"/>
          <w:sz w:val="22"/>
        </w:rPr>
        <w:t xml:space="preserve"> </w:t>
      </w:r>
    </w:p>
    <w:p w:rsidR="002C1572" w:rsidRPr="002C1572" w:rsidRDefault="002C1572" w:rsidP="002C1572">
      <w:pPr>
        <w:rPr>
          <w:rFonts w:asciiTheme="minorHAnsi" w:hAnsiTheme="minorHAnsi"/>
          <w:sz w:val="22"/>
        </w:rPr>
      </w:pPr>
      <w:r w:rsidRPr="002C1572">
        <w:rPr>
          <w:rFonts w:asciiTheme="minorHAnsi" w:hAnsiTheme="minorHAnsi"/>
          <w:bCs/>
          <w:sz w:val="22"/>
        </w:rPr>
        <w:t xml:space="preserve">For companies that have </w:t>
      </w:r>
      <w:r w:rsidRPr="002C1572">
        <w:rPr>
          <w:rFonts w:asciiTheme="minorHAnsi" w:hAnsiTheme="minorHAnsi"/>
          <w:sz w:val="22"/>
        </w:rPr>
        <w:t xml:space="preserve">liabilities such as derivatives comprising </w:t>
      </w:r>
      <w:r>
        <w:rPr>
          <w:rFonts w:asciiTheme="minorHAnsi" w:hAnsiTheme="minorHAnsi"/>
          <w:sz w:val="22"/>
        </w:rPr>
        <w:t xml:space="preserve">defined benefit </w:t>
      </w:r>
      <w:r w:rsidRPr="002C1572">
        <w:rPr>
          <w:rFonts w:asciiTheme="minorHAnsi" w:hAnsiTheme="minorHAnsi"/>
          <w:sz w:val="22"/>
        </w:rPr>
        <w:t xml:space="preserve">plan assets, the values on a dimension could be negative.  Please consider removing element </w:t>
      </w:r>
      <w:r w:rsidRPr="002C1572">
        <w:rPr>
          <w:rFonts w:asciiTheme="minorHAnsi" w:hAnsiTheme="minorHAnsi"/>
          <w:bCs/>
          <w:sz w:val="22"/>
        </w:rPr>
        <w:t>us-gaap_</w:t>
      </w:r>
      <w:r w:rsidRPr="002C1572">
        <w:rPr>
          <w:rFonts w:asciiTheme="minorHAnsi" w:hAnsiTheme="minorHAnsi" w:cs="Arial"/>
          <w:sz w:val="22"/>
        </w:rPr>
        <w:t>DefinedBenefitPlanFairValueOfPlanAssets</w:t>
      </w:r>
      <w:r w:rsidRPr="002C1572">
        <w:rPr>
          <w:rFonts w:asciiTheme="minorHAnsi" w:hAnsiTheme="minorHAnsi"/>
          <w:bCs/>
          <w:sz w:val="22"/>
        </w:rPr>
        <w:t xml:space="preserve"> from this rule</w:t>
      </w:r>
      <w:r w:rsidRPr="002C1572">
        <w:rPr>
          <w:rFonts w:asciiTheme="minorHAnsi" w:hAnsiTheme="minorHAnsi"/>
          <w:bCs/>
          <w:sz w:val="22"/>
        </w:rPr>
        <w:t xml:space="preserve">, until FASB issues </w:t>
      </w:r>
      <w:r>
        <w:rPr>
          <w:rFonts w:asciiTheme="minorHAnsi" w:hAnsiTheme="minorHAnsi"/>
          <w:bCs/>
          <w:sz w:val="22"/>
        </w:rPr>
        <w:t xml:space="preserve">guidance on whether these </w:t>
      </w:r>
      <w:r w:rsidRPr="002C1572">
        <w:rPr>
          <w:rFonts w:asciiTheme="minorHAnsi" w:hAnsiTheme="minorHAnsi"/>
          <w:sz w:val="22"/>
        </w:rPr>
        <w:t xml:space="preserve">liabilities </w:t>
      </w:r>
      <w:r w:rsidR="002E206A">
        <w:rPr>
          <w:rFonts w:asciiTheme="minorHAnsi" w:hAnsiTheme="minorHAnsi"/>
          <w:sz w:val="22"/>
        </w:rPr>
        <w:t xml:space="preserve">should be tagged as </w:t>
      </w:r>
      <w:r w:rsidRPr="002C1572">
        <w:rPr>
          <w:rFonts w:asciiTheme="minorHAnsi" w:hAnsiTheme="minorHAnsi"/>
          <w:sz w:val="22"/>
        </w:rPr>
        <w:t>negative assets, or a pension liabilities element and pension assets gross element</w:t>
      </w:r>
      <w:r w:rsidRPr="002C1572">
        <w:rPr>
          <w:rFonts w:asciiTheme="minorHAnsi" w:hAnsiTheme="minorHAnsi"/>
          <w:sz w:val="22"/>
        </w:rPr>
        <w:t xml:space="preserve"> should be created</w:t>
      </w:r>
      <w:r w:rsidRPr="002C1572">
        <w:rPr>
          <w:rFonts w:asciiTheme="minorHAnsi" w:hAnsiTheme="minorHAnsi"/>
          <w:sz w:val="22"/>
        </w:rPr>
        <w:t>. </w:t>
      </w:r>
      <w:bookmarkStart w:id="0" w:name="_GoBack"/>
      <w:bookmarkEnd w:id="0"/>
    </w:p>
    <w:p w:rsidR="002C1572" w:rsidRPr="002C1572" w:rsidRDefault="002C1572">
      <w:pPr>
        <w:rPr>
          <w:rStyle w:val="companyname2"/>
          <w:rFonts w:asciiTheme="minorHAnsi" w:hAnsiTheme="minorHAnsi" w:cs="Arial"/>
          <w:sz w:val="22"/>
          <w:szCs w:val="22"/>
        </w:rPr>
      </w:pPr>
      <w:r w:rsidRPr="002C1572">
        <w:rPr>
          <w:rStyle w:val="companyname2"/>
          <w:rFonts w:asciiTheme="minorHAnsi" w:hAnsiTheme="minorHAnsi" w:cs="Arial"/>
          <w:sz w:val="22"/>
          <w:szCs w:val="22"/>
        </w:rPr>
        <w:t xml:space="preserve">Examples: </w:t>
      </w:r>
    </w:p>
    <w:p w:rsidR="008626DD" w:rsidRPr="002C1572" w:rsidRDefault="00E87C4D">
      <w:pPr>
        <w:rPr>
          <w:rStyle w:val="companyname2"/>
          <w:rFonts w:asciiTheme="minorHAnsi" w:hAnsiTheme="minorHAnsi" w:cs="Arial"/>
          <w:b w:val="0"/>
          <w:sz w:val="22"/>
          <w:szCs w:val="22"/>
          <w:specVanish w:val="0"/>
        </w:rPr>
      </w:pPr>
      <w:r w:rsidRPr="002C1572">
        <w:rPr>
          <w:rStyle w:val="companyname2"/>
          <w:rFonts w:asciiTheme="minorHAnsi" w:hAnsiTheme="minorHAnsi" w:cs="Arial"/>
          <w:b w:val="0"/>
          <w:sz w:val="22"/>
          <w:szCs w:val="22"/>
        </w:rPr>
        <w:t xml:space="preserve">ALLIANCE RESOURCE PARTNERS LP </w:t>
      </w:r>
      <w:r w:rsidRPr="002C1572">
        <w:rPr>
          <w:rStyle w:val="HTMLAcronym"/>
          <w:rFonts w:asciiTheme="minorHAnsi" w:hAnsiTheme="minorHAnsi" w:cs="Arial"/>
          <w:bCs/>
          <w:sz w:val="22"/>
        </w:rPr>
        <w:t>CIK</w:t>
      </w:r>
      <w:r w:rsidRPr="002C1572">
        <w:rPr>
          <w:rStyle w:val="companyname2"/>
          <w:rFonts w:asciiTheme="minorHAnsi" w:hAnsiTheme="minorHAnsi" w:cs="Arial"/>
          <w:sz w:val="22"/>
          <w:szCs w:val="22"/>
        </w:rPr>
        <w:t xml:space="preserve">#: </w:t>
      </w:r>
      <w:hyperlink r:id="rId4" w:history="1">
        <w:r w:rsidRPr="002C1572">
          <w:rPr>
            <w:rStyle w:val="companyname2"/>
            <w:rFonts w:asciiTheme="minorHAnsi" w:hAnsiTheme="minorHAnsi" w:cs="Arial"/>
            <w:b w:val="0"/>
            <w:sz w:val="22"/>
            <w:szCs w:val="22"/>
          </w:rPr>
          <w:t>0001086600</w:t>
        </w:r>
      </w:hyperlink>
      <w:r w:rsidRPr="002C1572">
        <w:rPr>
          <w:rStyle w:val="companyname2"/>
          <w:rFonts w:asciiTheme="minorHAnsi" w:hAnsiTheme="minorHAnsi" w:cs="Arial"/>
          <w:b w:val="0"/>
          <w:sz w:val="22"/>
          <w:szCs w:val="22"/>
        </w:rPr>
        <w:t xml:space="preserve"> 12/31/2015 10-K</w:t>
      </w:r>
    </w:p>
    <w:p w:rsidR="00E87C4D" w:rsidRPr="002C1572" w:rsidRDefault="00E87C4D" w:rsidP="00E87C4D">
      <w:pPr>
        <w:spacing w:after="0" w:line="240" w:lineRule="auto"/>
        <w:ind w:firstLine="360"/>
        <w:jc w:val="both"/>
        <w:rPr>
          <w:rFonts w:asciiTheme="minorHAnsi" w:eastAsia="Times New Roman" w:hAnsiTheme="minorHAnsi" w:cs="Times New Roman"/>
          <w:sz w:val="22"/>
        </w:rPr>
      </w:pPr>
      <w:r w:rsidRPr="002C1572">
        <w:rPr>
          <w:rFonts w:asciiTheme="minorHAnsi" w:eastAsia="Times New Roman" w:hAnsiTheme="minorHAnsi" w:cs="Times New Roman"/>
          <w:sz w:val="22"/>
        </w:rPr>
        <w:t>The following information discloses the fair values of our Pension Plan assets, by asset category, for the periods indicated:</w:t>
      </w:r>
    </w:p>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Cs w:val="20"/>
        </w:rPr>
        <w:t> </w:t>
      </w:r>
    </w:p>
    <w:tbl>
      <w:tblPr>
        <w:tblW w:w="5000" w:type="pct"/>
        <w:tblCellMar>
          <w:left w:w="0" w:type="dxa"/>
          <w:right w:w="0" w:type="dxa"/>
        </w:tblCellMar>
        <w:tblLook w:val="04A0" w:firstRow="1" w:lastRow="0" w:firstColumn="1" w:lastColumn="0" w:noHBand="0" w:noVBand="1"/>
      </w:tblPr>
      <w:tblGrid>
        <w:gridCol w:w="2740"/>
        <w:gridCol w:w="92"/>
        <w:gridCol w:w="235"/>
        <w:gridCol w:w="730"/>
        <w:gridCol w:w="163"/>
        <w:gridCol w:w="195"/>
        <w:gridCol w:w="737"/>
        <w:gridCol w:w="163"/>
        <w:gridCol w:w="341"/>
        <w:gridCol w:w="591"/>
        <w:gridCol w:w="161"/>
        <w:gridCol w:w="335"/>
        <w:gridCol w:w="598"/>
        <w:gridCol w:w="162"/>
        <w:gridCol w:w="250"/>
        <w:gridCol w:w="684"/>
        <w:gridCol w:w="162"/>
        <w:gridCol w:w="321"/>
        <w:gridCol w:w="613"/>
        <w:gridCol w:w="87"/>
      </w:tblGrid>
      <w:tr w:rsidR="00E87C4D" w:rsidRPr="00E87C4D" w:rsidTr="00E87C4D">
        <w:tc>
          <w:tcPr>
            <w:tcW w:w="1465" w:type="pct"/>
            <w:vAlign w:val="bottom"/>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2"/>
                <w:szCs w:val="2"/>
              </w:rPr>
              <w:t> </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b/>
                <w:bCs/>
                <w:sz w:val="2"/>
                <w:szCs w:val="2"/>
              </w:rPr>
              <w:t> </w:t>
            </w:r>
          </w:p>
        </w:tc>
        <w:tc>
          <w:tcPr>
            <w:tcW w:w="1676" w:type="pct"/>
            <w:gridSpan w:val="8"/>
            <w:tcBorders>
              <w:top w:val="nil"/>
              <w:left w:val="nil"/>
              <w:bottom w:val="single" w:sz="8" w:space="0" w:color="auto"/>
              <w:right w:val="nil"/>
            </w:tcBorders>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b/>
                <w:bCs/>
                <w:sz w:val="15"/>
                <w:szCs w:val="15"/>
              </w:rPr>
              <w:t>December 31, 2015</w:t>
            </w:r>
          </w:p>
        </w:tc>
        <w:tc>
          <w:tcPr>
            <w:tcW w:w="87" w:type="pct"/>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sz w:val="2"/>
                <w:szCs w:val="2"/>
              </w:rPr>
              <w:t> </w:t>
            </w:r>
          </w:p>
        </w:tc>
        <w:tc>
          <w:tcPr>
            <w:tcW w:w="1674" w:type="pct"/>
            <w:gridSpan w:val="8"/>
            <w:tcBorders>
              <w:top w:val="nil"/>
              <w:left w:val="nil"/>
              <w:bottom w:val="single" w:sz="8" w:space="0" w:color="auto"/>
              <w:right w:val="nil"/>
            </w:tcBorders>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b/>
                <w:bCs/>
                <w:sz w:val="15"/>
                <w:szCs w:val="15"/>
              </w:rPr>
              <w:t>December 31, 2014</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b/>
                <w:bCs/>
                <w:sz w:val="2"/>
                <w:szCs w:val="2"/>
              </w:rPr>
              <w:t> </w:t>
            </w:r>
          </w:p>
        </w:tc>
      </w:tr>
      <w:tr w:rsidR="00E87C4D" w:rsidRPr="00E87C4D" w:rsidTr="00E87C4D">
        <w:tc>
          <w:tcPr>
            <w:tcW w:w="1465" w:type="pct"/>
            <w:vAlign w:val="bottom"/>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2"/>
                <w:szCs w:val="2"/>
              </w:rPr>
              <w:t> </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b/>
                <w:bCs/>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b/>
                <w:bCs/>
                <w:sz w:val="14"/>
                <w:szCs w:val="14"/>
              </w:rPr>
              <w:t>Level 1 (a)</w:t>
            </w:r>
          </w:p>
        </w:tc>
        <w:tc>
          <w:tcPr>
            <w:tcW w:w="88" w:type="pct"/>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b/>
                <w:bCs/>
                <w:sz w:val="14"/>
                <w:szCs w:val="14"/>
              </w:rPr>
              <w:t>Level 2 (a)</w:t>
            </w:r>
          </w:p>
        </w:tc>
        <w:tc>
          <w:tcPr>
            <w:tcW w:w="88" w:type="pct"/>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b/>
                <w:bCs/>
                <w:sz w:val="14"/>
                <w:szCs w:val="14"/>
              </w:rPr>
              <w:t>Level 3 (a)</w:t>
            </w:r>
          </w:p>
        </w:tc>
        <w:tc>
          <w:tcPr>
            <w:tcW w:w="87" w:type="pct"/>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b/>
                <w:bCs/>
                <w:sz w:val="14"/>
                <w:szCs w:val="14"/>
              </w:rPr>
              <w:t>Level 1 (a)</w:t>
            </w:r>
          </w:p>
        </w:tc>
        <w:tc>
          <w:tcPr>
            <w:tcW w:w="87" w:type="pct"/>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b/>
                <w:bCs/>
                <w:sz w:val="14"/>
                <w:szCs w:val="14"/>
              </w:rPr>
              <w:t>Level 2 (a)</w:t>
            </w:r>
          </w:p>
        </w:tc>
        <w:tc>
          <w:tcPr>
            <w:tcW w:w="87" w:type="pct"/>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b/>
                <w:bCs/>
                <w:sz w:val="14"/>
                <w:szCs w:val="14"/>
              </w:rPr>
              <w:t>Level 3 (a)</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b/>
                <w:bCs/>
                <w:sz w:val="2"/>
                <w:szCs w:val="2"/>
              </w:rPr>
              <w:t> </w:t>
            </w:r>
          </w:p>
        </w:tc>
      </w:tr>
      <w:tr w:rsidR="00E87C4D" w:rsidRPr="00E87C4D" w:rsidTr="00E87C4D">
        <w:tc>
          <w:tcPr>
            <w:tcW w:w="1465" w:type="pct"/>
            <w:vAlign w:val="bottom"/>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2"/>
                <w:szCs w:val="2"/>
              </w:rPr>
              <w:t> </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3437" w:type="pct"/>
            <w:gridSpan w:val="17"/>
            <w:vAlign w:val="bottom"/>
            <w:hideMark/>
          </w:tcPr>
          <w:p w:rsidR="00E87C4D" w:rsidRPr="00E87C4D" w:rsidRDefault="00E87C4D" w:rsidP="00E87C4D">
            <w:pPr>
              <w:spacing w:after="0" w:line="240" w:lineRule="auto"/>
              <w:jc w:val="center"/>
              <w:rPr>
                <w:rFonts w:eastAsia="Times New Roman" w:cs="Times New Roman"/>
                <w:sz w:val="24"/>
                <w:szCs w:val="24"/>
              </w:rPr>
            </w:pPr>
            <w:r w:rsidRPr="00E87C4D">
              <w:rPr>
                <w:rFonts w:eastAsia="Times New Roman" w:cs="Times New Roman"/>
                <w:sz w:val="14"/>
                <w:szCs w:val="14"/>
              </w:rPr>
              <w:t>(in thousands)</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14"/>
                <w:szCs w:val="14"/>
              </w:rPr>
              <w:t> </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109" w:type="pct"/>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91"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105"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395"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183"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317"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180" w:type="pct"/>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20"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134" w:type="pct"/>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66"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172" w:type="pct"/>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28"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r>
      <w:tr w:rsidR="00E87C4D" w:rsidRPr="00E87C4D" w:rsidTr="00E87C4D">
        <w:tc>
          <w:tcPr>
            <w:tcW w:w="1465" w:type="pct"/>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14"/>
                <w:szCs w:val="14"/>
              </w:rPr>
              <w:t>Cash and cash equivalents</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09" w:type="pct"/>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91"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883</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05"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395"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83"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317"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80" w:type="pct"/>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20"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917</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34" w:type="pct"/>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66"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72" w:type="pct"/>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28" w:type="pct"/>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14"/>
                <w:szCs w:val="14"/>
              </w:rPr>
              <w:t xml:space="preserve">Equity securities (b): </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U.S. large-cap growth</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17,977</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19,147</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U.S. large-cap value</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17,635</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19,196</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U.S. small/mid-cap blend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7,609</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8,681</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International large-cap core</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3,257</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2,934</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14"/>
                <w:szCs w:val="14"/>
              </w:rPr>
              <w:t>Fixed income securities:</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U.S. Treasury securities (c)</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1,234</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1,455</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Corporate bonds (d)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1,938</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1,802</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Preferred stock</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61</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Taxable municipal bonds (d)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182</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193</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International bonds (d)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319</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227</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14"/>
                <w:szCs w:val="14"/>
              </w:rPr>
              <w:t>Equity mutual funds (e):</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U.S. mid-cap growth</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4,948</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2,537</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International</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3,322</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2,856</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14"/>
                <w:szCs w:val="14"/>
              </w:rPr>
              <w:t>Fixed income mutual funds (e):</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Corporate bond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4,668</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4,729</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Mortgage backed-securities</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1,277</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1,226</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Short term investment grade bond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1,322</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1,417</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Intermediate investment grade bond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801</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1,013</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High yield bond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693</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689</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International bond</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226</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296</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14"/>
                <w:szCs w:val="14"/>
              </w:rPr>
              <w:t>Stock market index options (f):</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2"/>
                <w:szCs w:val="2"/>
              </w:rPr>
              <w:t> </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rPr>
            </w:pPr>
            <w:r w:rsidRPr="00E87C4D">
              <w:rPr>
                <w:rFonts w:eastAsia="Times New Roman" w:cs="Times New Roman"/>
                <w:sz w:val="14"/>
                <w:szCs w:val="14"/>
              </w:rPr>
              <w:t>Puts</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143</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111</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400" w:hanging="200"/>
              <w:rPr>
                <w:rFonts w:eastAsia="Times New Roman" w:cs="Times New Roman"/>
                <w:sz w:val="24"/>
                <w:szCs w:val="24"/>
                <w:highlight w:val="yellow"/>
              </w:rPr>
            </w:pPr>
            <w:r w:rsidRPr="00E87C4D">
              <w:rPr>
                <w:rFonts w:eastAsia="Times New Roman" w:cs="Times New Roman"/>
                <w:sz w:val="14"/>
                <w:szCs w:val="14"/>
                <w:highlight w:val="yellow"/>
              </w:rPr>
              <w:t>Calls</w:t>
            </w:r>
          </w:p>
        </w:tc>
        <w:tc>
          <w:tcPr>
            <w:tcW w:w="50" w:type="pct"/>
            <w:vAlign w:val="bottom"/>
            <w:hideMark/>
          </w:tcPr>
          <w:p w:rsidR="00E87C4D" w:rsidRPr="00E87C4D" w:rsidRDefault="00E87C4D" w:rsidP="00E87C4D">
            <w:pPr>
              <w:spacing w:after="0" w:line="240" w:lineRule="auto"/>
              <w:rPr>
                <w:rFonts w:eastAsia="Times New Roman" w:cs="Times New Roman"/>
                <w:sz w:val="24"/>
                <w:szCs w:val="24"/>
                <w:highlight w:val="yellow"/>
              </w:rPr>
            </w:pPr>
            <w:r w:rsidRPr="00E87C4D">
              <w:rPr>
                <w:rFonts w:eastAsia="Times New Roman" w:cs="Times New Roman"/>
                <w:sz w:val="2"/>
                <w:szCs w:val="2"/>
                <w:highlight w:val="yellow"/>
              </w:rPr>
              <w:t> </w:t>
            </w:r>
          </w:p>
        </w:tc>
        <w:tc>
          <w:tcPr>
            <w:tcW w:w="500" w:type="pct"/>
            <w:gridSpan w:val="2"/>
            <w:vAlign w:val="bottom"/>
            <w:hideMark/>
          </w:tcPr>
          <w:p w:rsidR="00E87C4D" w:rsidRPr="00E87C4D" w:rsidRDefault="00E87C4D" w:rsidP="00E87C4D">
            <w:pPr>
              <w:spacing w:after="0" w:line="240" w:lineRule="auto"/>
              <w:ind w:right="43"/>
              <w:jc w:val="right"/>
              <w:rPr>
                <w:rFonts w:eastAsia="Times New Roman" w:cs="Times New Roman"/>
                <w:sz w:val="24"/>
                <w:szCs w:val="24"/>
                <w:highlight w:val="yellow"/>
              </w:rPr>
            </w:pPr>
            <w:r w:rsidRPr="00E87C4D">
              <w:rPr>
                <w:rFonts w:eastAsia="Times New Roman" w:cs="Times New Roman"/>
                <w:sz w:val="14"/>
                <w:szCs w:val="14"/>
                <w:highlight w:val="yellow"/>
              </w:rPr>
              <w:t>(54)</w:t>
            </w:r>
          </w:p>
        </w:tc>
        <w:tc>
          <w:tcPr>
            <w:tcW w:w="88" w:type="pct"/>
            <w:vAlign w:val="bottom"/>
            <w:hideMark/>
          </w:tcPr>
          <w:p w:rsidR="00E87C4D" w:rsidRPr="00E87C4D" w:rsidRDefault="00E87C4D" w:rsidP="00E87C4D">
            <w:pPr>
              <w:spacing w:after="0" w:line="240" w:lineRule="auto"/>
              <w:rPr>
                <w:rFonts w:eastAsia="Times New Roman" w:cs="Times New Roman"/>
                <w:sz w:val="24"/>
                <w:szCs w:val="24"/>
                <w:highlight w:val="yellow"/>
              </w:rPr>
            </w:pPr>
            <w:r w:rsidRPr="00E87C4D">
              <w:rPr>
                <w:rFonts w:eastAsia="Times New Roman" w:cs="Times New Roman"/>
                <w:sz w:val="2"/>
                <w:szCs w:val="2"/>
                <w:highlight w:val="yellow"/>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highlight w:val="yellow"/>
              </w:rPr>
            </w:pPr>
            <w:r w:rsidRPr="00E87C4D">
              <w:rPr>
                <w:rFonts w:eastAsia="Times New Roman" w:cs="Times New Roman"/>
                <w:sz w:val="14"/>
                <w:szCs w:val="14"/>
                <w:highlight w:val="yellow"/>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highlight w:val="yellow"/>
              </w:rPr>
            </w:pPr>
            <w:r w:rsidRPr="00E87C4D">
              <w:rPr>
                <w:rFonts w:eastAsia="Times New Roman" w:cs="Times New Roman"/>
                <w:sz w:val="2"/>
                <w:szCs w:val="2"/>
                <w:highlight w:val="yellow"/>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highlight w:val="yellow"/>
              </w:rPr>
            </w:pPr>
            <w:r w:rsidRPr="00E87C4D">
              <w:rPr>
                <w:rFonts w:eastAsia="Times New Roman" w:cs="Times New Roman"/>
                <w:sz w:val="14"/>
                <w:szCs w:val="14"/>
                <w:highlight w:val="yellow"/>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highlight w:val="yellow"/>
              </w:rPr>
            </w:pPr>
            <w:r w:rsidRPr="00E87C4D">
              <w:rPr>
                <w:rFonts w:eastAsia="Times New Roman" w:cs="Times New Roman"/>
                <w:sz w:val="2"/>
                <w:szCs w:val="2"/>
                <w:highlight w:val="yellow"/>
              </w:rPr>
              <w:t> </w:t>
            </w:r>
          </w:p>
        </w:tc>
        <w:tc>
          <w:tcPr>
            <w:tcW w:w="500" w:type="pct"/>
            <w:gridSpan w:val="2"/>
            <w:vAlign w:val="bottom"/>
            <w:hideMark/>
          </w:tcPr>
          <w:p w:rsidR="00E87C4D" w:rsidRPr="00E87C4D" w:rsidRDefault="00E87C4D" w:rsidP="00E87C4D">
            <w:pPr>
              <w:spacing w:after="0" w:line="240" w:lineRule="auto"/>
              <w:ind w:right="86"/>
              <w:jc w:val="right"/>
              <w:rPr>
                <w:rFonts w:eastAsia="Times New Roman" w:cs="Times New Roman"/>
                <w:sz w:val="24"/>
                <w:szCs w:val="24"/>
                <w:highlight w:val="yellow"/>
              </w:rPr>
            </w:pPr>
            <w:r w:rsidRPr="00E87C4D">
              <w:rPr>
                <w:rFonts w:eastAsia="Times New Roman" w:cs="Times New Roman"/>
                <w:sz w:val="14"/>
                <w:szCs w:val="14"/>
                <w:highlight w:val="yellow"/>
              </w:rPr>
              <w:t>(40)</w:t>
            </w:r>
          </w:p>
        </w:tc>
        <w:tc>
          <w:tcPr>
            <w:tcW w:w="87" w:type="pct"/>
            <w:vAlign w:val="bottom"/>
            <w:hideMark/>
          </w:tcPr>
          <w:p w:rsidR="00E87C4D" w:rsidRPr="00E87C4D" w:rsidRDefault="00E87C4D" w:rsidP="00E87C4D">
            <w:pPr>
              <w:spacing w:after="0" w:line="240" w:lineRule="auto"/>
              <w:rPr>
                <w:rFonts w:eastAsia="Times New Roman" w:cs="Times New Roman"/>
                <w:sz w:val="24"/>
                <w:szCs w:val="24"/>
                <w:highlight w:val="yellow"/>
              </w:rPr>
            </w:pPr>
            <w:r w:rsidRPr="00E87C4D">
              <w:rPr>
                <w:rFonts w:eastAsia="Times New Roman" w:cs="Times New Roman"/>
                <w:sz w:val="2"/>
                <w:szCs w:val="2"/>
                <w:highlight w:val="yellow"/>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highlight w:val="yellow"/>
              </w:rPr>
            </w:pPr>
            <w:r w:rsidRPr="00E87C4D">
              <w:rPr>
                <w:rFonts w:eastAsia="Times New Roman" w:cs="Times New Roman"/>
                <w:sz w:val="14"/>
                <w:szCs w:val="14"/>
                <w:highlight w:val="yellow"/>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highlight w:val="yellow"/>
              </w:rPr>
            </w:pPr>
            <w:r w:rsidRPr="00E87C4D">
              <w:rPr>
                <w:rFonts w:eastAsia="Times New Roman" w:cs="Times New Roman"/>
                <w:sz w:val="2"/>
                <w:szCs w:val="2"/>
                <w:highlight w:val="yellow"/>
              </w:rPr>
              <w:t> </w:t>
            </w:r>
          </w:p>
        </w:tc>
        <w:tc>
          <w:tcPr>
            <w:tcW w:w="500" w:type="pct"/>
            <w:gridSpan w:val="2"/>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highlight w:val="yellow"/>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200" w:hanging="200"/>
              <w:rPr>
                <w:rFonts w:eastAsia="Times New Roman" w:cs="Times New Roman"/>
                <w:sz w:val="24"/>
                <w:szCs w:val="24"/>
              </w:rPr>
            </w:pPr>
            <w:r w:rsidRPr="00E87C4D">
              <w:rPr>
                <w:rFonts w:eastAsia="Times New Roman" w:cs="Times New Roman"/>
                <w:sz w:val="14"/>
                <w:szCs w:val="14"/>
              </w:rPr>
              <w:t>Accrued income (g)</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ind w:right="86"/>
              <w:jc w:val="right"/>
              <w:rPr>
                <w:rFonts w:eastAsia="Times New Roman" w:cs="Times New Roman"/>
                <w:sz w:val="24"/>
                <w:szCs w:val="24"/>
              </w:rPr>
            </w:pPr>
            <w:r w:rsidRPr="00E87C4D">
              <w:rPr>
                <w:rFonts w:eastAsia="Times New Roman" w:cs="Times New Roman"/>
                <w:sz w:val="14"/>
                <w:szCs w:val="14"/>
              </w:rPr>
              <w:t>-</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65</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74</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500" w:type="pct"/>
            <w:gridSpan w:val="2"/>
            <w:tcBorders>
              <w:top w:val="nil"/>
              <w:left w:val="nil"/>
              <w:bottom w:val="single" w:sz="8"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r w:rsidR="00E87C4D" w:rsidRPr="00E87C4D" w:rsidTr="00E87C4D">
        <w:tc>
          <w:tcPr>
            <w:tcW w:w="1465" w:type="pct"/>
            <w:hideMark/>
          </w:tcPr>
          <w:p w:rsidR="00E87C4D" w:rsidRPr="00E87C4D" w:rsidRDefault="00E87C4D" w:rsidP="00E87C4D">
            <w:pPr>
              <w:spacing w:after="0" w:line="240" w:lineRule="auto"/>
              <w:ind w:left="800" w:hanging="200"/>
              <w:rPr>
                <w:rFonts w:eastAsia="Times New Roman" w:cs="Times New Roman"/>
                <w:sz w:val="24"/>
                <w:szCs w:val="24"/>
              </w:rPr>
            </w:pPr>
            <w:r w:rsidRPr="00E87C4D">
              <w:rPr>
                <w:rFonts w:eastAsia="Times New Roman" w:cs="Times New Roman"/>
                <w:sz w:val="14"/>
                <w:szCs w:val="14"/>
              </w:rPr>
              <w:t>Total</w:t>
            </w:r>
          </w:p>
        </w:tc>
        <w:tc>
          <w:tcPr>
            <w:tcW w:w="50"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09"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91"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48,684</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05" w:type="pct"/>
            <w:tcBorders>
              <w:top w:val="nil"/>
              <w:left w:val="nil"/>
              <w:bottom w:val="double" w:sz="6" w:space="0" w:color="auto"/>
              <w:right w:val="nil"/>
            </w:tcBorders>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14"/>
                <w:szCs w:val="14"/>
              </w:rPr>
              <w:t> $</w:t>
            </w:r>
          </w:p>
        </w:tc>
        <w:tc>
          <w:tcPr>
            <w:tcW w:w="395"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19,761</w:t>
            </w:r>
          </w:p>
        </w:tc>
        <w:tc>
          <w:tcPr>
            <w:tcW w:w="88"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83"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17"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80"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20"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52,401</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34"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66"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17,120</w:t>
            </w:r>
          </w:p>
        </w:tc>
        <w:tc>
          <w:tcPr>
            <w:tcW w:w="8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c>
          <w:tcPr>
            <w:tcW w:w="172"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rPr>
                <w:rFonts w:eastAsia="Times New Roman" w:cs="Times New Roman"/>
                <w:sz w:val="24"/>
                <w:szCs w:val="24"/>
              </w:rPr>
            </w:pPr>
            <w:r w:rsidRPr="00E87C4D">
              <w:rPr>
                <w:rFonts w:eastAsia="Times New Roman" w:cs="Times New Roman"/>
                <w:sz w:val="14"/>
                <w:szCs w:val="14"/>
              </w:rPr>
              <w:t> $</w:t>
            </w:r>
          </w:p>
        </w:tc>
        <w:tc>
          <w:tcPr>
            <w:tcW w:w="328" w:type="pct"/>
            <w:tcBorders>
              <w:top w:val="nil"/>
              <w:left w:val="nil"/>
              <w:bottom w:val="double" w:sz="6" w:space="0" w:color="auto"/>
              <w:right w:val="nil"/>
            </w:tcBorders>
            <w:vAlign w:val="bottom"/>
            <w:hideMark/>
          </w:tcPr>
          <w:p w:rsidR="00E87C4D" w:rsidRPr="00E87C4D" w:rsidRDefault="00E87C4D" w:rsidP="00E87C4D">
            <w:pPr>
              <w:spacing w:after="0" w:line="240" w:lineRule="auto"/>
              <w:ind w:right="130"/>
              <w:jc w:val="right"/>
              <w:rPr>
                <w:rFonts w:eastAsia="Times New Roman" w:cs="Times New Roman"/>
                <w:sz w:val="24"/>
                <w:szCs w:val="24"/>
              </w:rPr>
            </w:pPr>
            <w:r w:rsidRPr="00E87C4D">
              <w:rPr>
                <w:rFonts w:eastAsia="Times New Roman" w:cs="Times New Roman"/>
                <w:sz w:val="14"/>
                <w:szCs w:val="14"/>
              </w:rPr>
              <w:t> -</w:t>
            </w:r>
          </w:p>
        </w:tc>
        <w:tc>
          <w:tcPr>
            <w:tcW w:w="47" w:type="pct"/>
            <w:vAlign w:val="bottom"/>
            <w:hideMark/>
          </w:tcPr>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 w:val="2"/>
                <w:szCs w:val="2"/>
              </w:rPr>
              <w:t> </w:t>
            </w:r>
          </w:p>
        </w:tc>
      </w:tr>
    </w:tbl>
    <w:p w:rsidR="00E87C4D" w:rsidRPr="00E87C4D" w:rsidRDefault="00E87C4D" w:rsidP="00E87C4D">
      <w:pPr>
        <w:spacing w:after="0" w:line="240" w:lineRule="auto"/>
        <w:rPr>
          <w:rFonts w:eastAsia="Times New Roman" w:cs="Times New Roman"/>
          <w:sz w:val="24"/>
          <w:szCs w:val="24"/>
        </w:rPr>
      </w:pPr>
      <w:r w:rsidRPr="00E87C4D">
        <w:rPr>
          <w:rFonts w:eastAsia="Times New Roman" w:cs="Times New Roman"/>
          <w:szCs w:val="20"/>
        </w:rPr>
        <w:t> </w:t>
      </w:r>
    </w:p>
    <w:p w:rsidR="00E87C4D" w:rsidRPr="00E87C4D" w:rsidRDefault="00E87C4D" w:rsidP="00E87C4D">
      <w:pPr>
        <w:spacing w:after="0" w:line="240" w:lineRule="auto"/>
        <w:ind w:left="720" w:hanging="360"/>
        <w:jc w:val="both"/>
        <w:rPr>
          <w:rFonts w:eastAsia="Times New Roman" w:cs="Times New Roman"/>
          <w:sz w:val="24"/>
          <w:szCs w:val="24"/>
        </w:rPr>
      </w:pPr>
      <w:r w:rsidRPr="00E87C4D">
        <w:rPr>
          <w:rFonts w:eastAsia="Times New Roman" w:cs="Times New Roman"/>
          <w:sz w:val="16"/>
          <w:szCs w:val="16"/>
        </w:rPr>
        <w:t>(a)</w:t>
      </w:r>
      <w:r w:rsidRPr="00E87C4D">
        <w:rPr>
          <w:rFonts w:eastAsia="Times New Roman" w:cs="Times New Roman"/>
          <w:sz w:val="6"/>
          <w:szCs w:val="6"/>
        </w:rPr>
        <w:t xml:space="preserve">           </w:t>
      </w:r>
      <w:r w:rsidRPr="00E87C4D">
        <w:rPr>
          <w:rFonts w:eastAsia="Times New Roman" w:cs="Times New Roman"/>
          <w:sz w:val="16"/>
          <w:szCs w:val="16"/>
        </w:rPr>
        <w:t>See Note 2 – Summary of Significant Accounting Policies – Fair Value Measurements for more information regarding the definitions of fair value hierarchy levels.</w:t>
      </w:r>
    </w:p>
    <w:p w:rsidR="00E87C4D" w:rsidRPr="00E87C4D" w:rsidRDefault="00E87C4D" w:rsidP="00E87C4D">
      <w:pPr>
        <w:spacing w:after="0" w:line="240" w:lineRule="auto"/>
        <w:ind w:left="720" w:hanging="360"/>
        <w:jc w:val="both"/>
        <w:rPr>
          <w:rFonts w:eastAsia="Times New Roman" w:cs="Times New Roman"/>
          <w:sz w:val="24"/>
          <w:szCs w:val="24"/>
        </w:rPr>
      </w:pPr>
      <w:r w:rsidRPr="00E87C4D">
        <w:rPr>
          <w:rFonts w:eastAsia="Times New Roman" w:cs="Times New Roman"/>
          <w:sz w:val="16"/>
          <w:szCs w:val="16"/>
        </w:rPr>
        <w:t>(b)</w:t>
      </w:r>
      <w:r w:rsidRPr="00E87C4D">
        <w:rPr>
          <w:rFonts w:eastAsia="Times New Roman" w:cs="Times New Roman"/>
          <w:sz w:val="6"/>
          <w:szCs w:val="6"/>
        </w:rPr>
        <w:t xml:space="preserve">          </w:t>
      </w:r>
      <w:r w:rsidRPr="00E87C4D">
        <w:rPr>
          <w:rFonts w:eastAsia="Times New Roman" w:cs="Times New Roman"/>
          <w:sz w:val="16"/>
          <w:szCs w:val="16"/>
        </w:rPr>
        <w:t>Equity securities include investments in publicly traded common stock and preferred stock.  Publicly-traded common stocks are traded on a national securities exchange and investments in common and preferred stocks are valued using quoted market prices multiplied by the number of shares owned.</w:t>
      </w:r>
    </w:p>
    <w:p w:rsidR="00E87C4D" w:rsidRPr="00E87C4D" w:rsidRDefault="00E87C4D" w:rsidP="00E87C4D">
      <w:pPr>
        <w:spacing w:after="0" w:line="240" w:lineRule="auto"/>
        <w:ind w:left="720" w:hanging="360"/>
        <w:jc w:val="both"/>
        <w:rPr>
          <w:rFonts w:eastAsia="Times New Roman" w:cs="Times New Roman"/>
          <w:sz w:val="24"/>
          <w:szCs w:val="24"/>
        </w:rPr>
      </w:pPr>
      <w:r w:rsidRPr="00E87C4D">
        <w:rPr>
          <w:rFonts w:eastAsia="Times New Roman" w:cs="Times New Roman"/>
          <w:sz w:val="16"/>
          <w:szCs w:val="16"/>
        </w:rPr>
        <w:t>(</w:t>
      </w:r>
      <w:proofErr w:type="gramStart"/>
      <w:r w:rsidRPr="00E87C4D">
        <w:rPr>
          <w:rFonts w:eastAsia="Times New Roman" w:cs="Times New Roman"/>
          <w:sz w:val="16"/>
          <w:szCs w:val="16"/>
        </w:rPr>
        <w:t>c</w:t>
      </w:r>
      <w:proofErr w:type="gramEnd"/>
      <w:r w:rsidRPr="00E87C4D">
        <w:rPr>
          <w:rFonts w:eastAsia="Times New Roman" w:cs="Times New Roman"/>
          <w:sz w:val="16"/>
          <w:szCs w:val="16"/>
        </w:rPr>
        <w:t>)</w:t>
      </w:r>
      <w:r w:rsidRPr="00E87C4D">
        <w:rPr>
          <w:rFonts w:eastAsia="Times New Roman" w:cs="Times New Roman"/>
          <w:sz w:val="6"/>
          <w:szCs w:val="6"/>
        </w:rPr>
        <w:t xml:space="preserve">           </w:t>
      </w:r>
      <w:r w:rsidRPr="00E87C4D">
        <w:rPr>
          <w:rFonts w:eastAsia="Times New Roman" w:cs="Times New Roman"/>
          <w:sz w:val="16"/>
          <w:szCs w:val="16"/>
        </w:rPr>
        <w:t>U.S. Treasury securities include agency and treasury debt.  These investments are valued using dealer quotes in an active market.</w:t>
      </w:r>
    </w:p>
    <w:p w:rsidR="00E87C4D" w:rsidRPr="00E87C4D" w:rsidRDefault="00E87C4D" w:rsidP="00E87C4D">
      <w:pPr>
        <w:spacing w:after="0" w:line="240" w:lineRule="auto"/>
        <w:ind w:left="720" w:hanging="360"/>
        <w:jc w:val="both"/>
        <w:rPr>
          <w:rFonts w:eastAsia="Times New Roman" w:cs="Times New Roman"/>
          <w:sz w:val="24"/>
          <w:szCs w:val="24"/>
        </w:rPr>
      </w:pPr>
      <w:r w:rsidRPr="00E87C4D">
        <w:rPr>
          <w:rFonts w:eastAsia="Times New Roman" w:cs="Times New Roman"/>
          <w:sz w:val="16"/>
          <w:szCs w:val="16"/>
        </w:rPr>
        <w:t>(d)</w:t>
      </w:r>
      <w:r w:rsidRPr="00E87C4D">
        <w:rPr>
          <w:rFonts w:eastAsia="Times New Roman" w:cs="Times New Roman"/>
          <w:sz w:val="6"/>
          <w:szCs w:val="6"/>
        </w:rPr>
        <w:t xml:space="preserve">          </w:t>
      </w:r>
      <w:r w:rsidRPr="00E87C4D">
        <w:rPr>
          <w:rFonts w:eastAsia="Times New Roman" w:cs="Times New Roman"/>
          <w:sz w:val="16"/>
          <w:szCs w:val="16"/>
        </w:rPr>
        <w:t>Bonds are valued utilizing a market approach that includes various valuation techniques and sources such as value generation models, broker quotes in active and non-active markets, benchmark yields and securities, reported trades, issuer spreads, and/or other applicable reference data. The corporate bonds and notes category is primarily comprised of U.S. dollar denominated, investment grade securities. Less than 5 percent of the securities have a rating below investment grade.</w:t>
      </w:r>
    </w:p>
    <w:p w:rsidR="00E87C4D" w:rsidRPr="00E87C4D" w:rsidRDefault="00E87C4D" w:rsidP="00E87C4D">
      <w:pPr>
        <w:spacing w:after="0" w:line="240" w:lineRule="auto"/>
        <w:ind w:left="720" w:hanging="360"/>
        <w:jc w:val="both"/>
        <w:rPr>
          <w:rFonts w:eastAsia="Times New Roman" w:cs="Times New Roman"/>
          <w:sz w:val="24"/>
          <w:szCs w:val="24"/>
        </w:rPr>
      </w:pPr>
      <w:r w:rsidRPr="00E87C4D">
        <w:rPr>
          <w:rFonts w:eastAsia="Times New Roman" w:cs="Times New Roman"/>
          <w:sz w:val="16"/>
          <w:szCs w:val="16"/>
        </w:rPr>
        <w:t>(e)</w:t>
      </w:r>
      <w:r w:rsidRPr="00E87C4D">
        <w:rPr>
          <w:rFonts w:eastAsia="Times New Roman" w:cs="Times New Roman"/>
          <w:sz w:val="6"/>
          <w:szCs w:val="6"/>
        </w:rPr>
        <w:t xml:space="preserve">           </w:t>
      </w:r>
      <w:r w:rsidRPr="00E87C4D">
        <w:rPr>
          <w:rFonts w:eastAsia="Times New Roman" w:cs="Times New Roman"/>
          <w:sz w:val="16"/>
          <w:szCs w:val="16"/>
        </w:rPr>
        <w:t>Mutual funds are valued daily in actively traded markets by an independent custodian for the investment manager.  For purposes of calculating the value, portfolio securities and other assets for which market quotes are readily available are valued at market value.  Market value is generally determined on a basis of last reported sales prices, or if no sales are reported, based on quotes obtained from a quotation reporting system, established market makers, or pricing services.  Investments initially valued in currencies other than the U.S. dollars are converted to the U.S. dollar using exchange rates obtained from pricing services.</w:t>
      </w:r>
    </w:p>
    <w:p w:rsidR="00E87C4D" w:rsidRPr="00E87C4D" w:rsidRDefault="00E87C4D" w:rsidP="00E87C4D">
      <w:pPr>
        <w:spacing w:after="0" w:line="240" w:lineRule="auto"/>
        <w:ind w:left="720" w:hanging="360"/>
        <w:jc w:val="both"/>
        <w:rPr>
          <w:rFonts w:eastAsia="Times New Roman" w:cs="Times New Roman"/>
          <w:sz w:val="24"/>
          <w:szCs w:val="24"/>
        </w:rPr>
      </w:pPr>
      <w:r w:rsidRPr="00E87C4D">
        <w:rPr>
          <w:rFonts w:eastAsia="Times New Roman" w:cs="Times New Roman"/>
          <w:sz w:val="16"/>
          <w:szCs w:val="16"/>
        </w:rPr>
        <w:t>(f)</w:t>
      </w:r>
      <w:r w:rsidRPr="00E87C4D">
        <w:rPr>
          <w:rFonts w:eastAsia="Times New Roman" w:cs="Times New Roman"/>
          <w:sz w:val="6"/>
          <w:szCs w:val="6"/>
        </w:rPr>
        <w:t xml:space="preserve">            </w:t>
      </w:r>
      <w:r w:rsidRPr="00E87C4D">
        <w:rPr>
          <w:rFonts w:eastAsia="Times New Roman" w:cs="Times New Roman"/>
          <w:sz w:val="16"/>
          <w:szCs w:val="16"/>
        </w:rPr>
        <w:t>Options are valued utilizing quotes in active markets.</w:t>
      </w:r>
    </w:p>
    <w:p w:rsidR="00E87C4D" w:rsidRPr="00E87C4D" w:rsidRDefault="00E87C4D" w:rsidP="00E87C4D">
      <w:pPr>
        <w:spacing w:after="0" w:line="240" w:lineRule="auto"/>
        <w:ind w:left="720" w:hanging="360"/>
        <w:jc w:val="both"/>
        <w:rPr>
          <w:rFonts w:eastAsia="Times New Roman" w:cs="Times New Roman"/>
          <w:sz w:val="24"/>
          <w:szCs w:val="24"/>
        </w:rPr>
      </w:pPr>
      <w:r w:rsidRPr="00E87C4D">
        <w:rPr>
          <w:rFonts w:eastAsia="Times New Roman" w:cs="Times New Roman"/>
          <w:sz w:val="16"/>
          <w:szCs w:val="16"/>
        </w:rPr>
        <w:t>(g)</w:t>
      </w:r>
      <w:r w:rsidRPr="00E87C4D">
        <w:rPr>
          <w:rFonts w:eastAsia="Times New Roman" w:cs="Times New Roman"/>
          <w:sz w:val="6"/>
          <w:szCs w:val="6"/>
        </w:rPr>
        <w:t xml:space="preserve">           </w:t>
      </w:r>
      <w:r w:rsidRPr="00E87C4D">
        <w:rPr>
          <w:rFonts w:eastAsia="Times New Roman" w:cs="Times New Roman"/>
          <w:sz w:val="16"/>
          <w:szCs w:val="16"/>
        </w:rPr>
        <w:t>Accrued income represents dividends declared, but not received, on equity securities owned at December 31, 2015 and 2014.</w:t>
      </w:r>
    </w:p>
    <w:p w:rsidR="00E87C4D" w:rsidRPr="002C1572" w:rsidRDefault="00E87C4D">
      <w:pPr>
        <w:rPr>
          <w:rStyle w:val="companyname2"/>
          <w:rFonts w:asciiTheme="minorHAnsi" w:hAnsiTheme="minorHAnsi" w:cs="Arial"/>
          <w:sz w:val="20"/>
          <w:szCs w:val="20"/>
          <w:specVanish w:val="0"/>
        </w:rPr>
      </w:pPr>
    </w:p>
    <w:p w:rsidR="00E87C4D" w:rsidRPr="002C1572" w:rsidRDefault="00131BB7">
      <w:pPr>
        <w:rPr>
          <w:rFonts w:asciiTheme="minorHAnsi" w:hAnsiTheme="minorHAnsi"/>
          <w:szCs w:val="20"/>
        </w:rPr>
      </w:pPr>
      <w:r w:rsidRPr="002C1572">
        <w:rPr>
          <w:rFonts w:asciiTheme="minorHAnsi" w:hAnsiTheme="minorHAnsi"/>
          <w:szCs w:val="20"/>
        </w:rPr>
        <w:t>Enbridge, Inc. with CIK # 0000 895 728 12/31/2015 40-F</w:t>
      </w:r>
    </w:p>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Arial"/>
          <w:szCs w:val="20"/>
        </w:rPr>
        <w:t> </w:t>
      </w:r>
    </w:p>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Arial"/>
          <w:szCs w:val="20"/>
        </w:rPr>
        <w:t>The following table summarizes the Company’s pension financial instruments at fair value. Non-financial instruments with a carrying value of $</w:t>
      </w:r>
      <w:r w:rsidRPr="002C1572">
        <w:rPr>
          <w:rFonts w:asciiTheme="minorHAnsi" w:eastAsia="Times New Roman" w:hAnsiTheme="minorHAnsi" w:cs="Arial"/>
          <w:color w:val="000000"/>
          <w:szCs w:val="20"/>
        </w:rPr>
        <w:t>21</w:t>
      </w:r>
      <w:r w:rsidRPr="002C1572">
        <w:rPr>
          <w:rFonts w:asciiTheme="minorHAnsi" w:eastAsia="Times New Roman" w:hAnsiTheme="minorHAnsi" w:cs="Arial"/>
          <w:szCs w:val="20"/>
        </w:rPr>
        <w:t xml:space="preserve"> million asset (2014 - $4 million asset) and refundable tax assets of $</w:t>
      </w:r>
      <w:r w:rsidRPr="002C1572">
        <w:rPr>
          <w:rFonts w:asciiTheme="minorHAnsi" w:eastAsia="Times New Roman" w:hAnsiTheme="minorHAnsi" w:cs="Arial"/>
          <w:color w:val="000000"/>
          <w:szCs w:val="20"/>
        </w:rPr>
        <w:t>106</w:t>
      </w:r>
      <w:r w:rsidRPr="002C1572">
        <w:rPr>
          <w:rFonts w:asciiTheme="minorHAnsi" w:eastAsia="Times New Roman" w:hAnsiTheme="minorHAnsi" w:cs="Arial"/>
          <w:szCs w:val="20"/>
        </w:rPr>
        <w:t xml:space="preserve"> million (2014 - $96 million) have been excluded from the table below.</w:t>
      </w:r>
    </w:p>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Arial"/>
          <w:szCs w:val="20"/>
        </w:rPr>
        <w:t> </w:t>
      </w:r>
    </w:p>
    <w:tbl>
      <w:tblPr>
        <w:tblW w:w="5000" w:type="pct"/>
        <w:tblCellMar>
          <w:left w:w="0" w:type="dxa"/>
          <w:right w:w="0" w:type="dxa"/>
        </w:tblCellMar>
        <w:tblLook w:val="04A0" w:firstRow="1" w:lastRow="0" w:firstColumn="1" w:lastColumn="0" w:noHBand="0" w:noVBand="1"/>
      </w:tblPr>
      <w:tblGrid>
        <w:gridCol w:w="3427"/>
        <w:gridCol w:w="94"/>
        <w:gridCol w:w="636"/>
        <w:gridCol w:w="94"/>
        <w:gridCol w:w="636"/>
        <w:gridCol w:w="94"/>
        <w:gridCol w:w="636"/>
        <w:gridCol w:w="94"/>
        <w:gridCol w:w="622"/>
        <w:gridCol w:w="109"/>
        <w:gridCol w:w="636"/>
        <w:gridCol w:w="94"/>
        <w:gridCol w:w="636"/>
        <w:gridCol w:w="94"/>
        <w:gridCol w:w="636"/>
        <w:gridCol w:w="94"/>
        <w:gridCol w:w="666"/>
        <w:gridCol w:w="62"/>
      </w:tblGrid>
      <w:tr w:rsidR="00E87C4D" w:rsidRPr="002C1572" w:rsidTr="00E87C4D">
        <w:tc>
          <w:tcPr>
            <w:tcW w:w="1831" w:type="pct"/>
            <w:hideMark/>
          </w:tcPr>
          <w:p w:rsidR="00E87C4D" w:rsidRPr="002C1572" w:rsidRDefault="00E87C4D" w:rsidP="00E87C4D">
            <w:pPr>
              <w:spacing w:after="0" w:line="240" w:lineRule="auto"/>
              <w:ind w:left="202" w:hanging="202"/>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1502" w:type="pct"/>
            <w:gridSpan w:val="7"/>
            <w:tcBorders>
              <w:top w:val="nil"/>
              <w:left w:val="nil"/>
              <w:bottom w:val="single" w:sz="8" w:space="0" w:color="auto"/>
              <w:right w:val="nil"/>
            </w:tcBorders>
            <w:vAlign w:val="bottom"/>
            <w:hideMark/>
          </w:tcPr>
          <w:p w:rsidR="00E87C4D" w:rsidRPr="002C1572" w:rsidRDefault="00E87C4D" w:rsidP="00E87C4D">
            <w:pPr>
              <w:spacing w:after="0" w:line="240" w:lineRule="auto"/>
              <w:jc w:val="center"/>
              <w:rPr>
                <w:rFonts w:asciiTheme="minorHAnsi" w:eastAsia="Times New Roman" w:hAnsiTheme="minorHAnsi" w:cs="Times New Roman"/>
                <w:szCs w:val="20"/>
              </w:rPr>
            </w:pPr>
            <w:r w:rsidRPr="002C1572">
              <w:rPr>
                <w:rFonts w:asciiTheme="minorHAnsi" w:eastAsia="Times New Roman" w:hAnsiTheme="minorHAnsi" w:cs="Arial"/>
                <w:b/>
                <w:bCs/>
                <w:szCs w:val="20"/>
              </w:rPr>
              <w:t>2015</w:t>
            </w:r>
          </w:p>
        </w:tc>
        <w:tc>
          <w:tcPr>
            <w:tcW w:w="58"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1558" w:type="pct"/>
            <w:gridSpan w:val="8"/>
            <w:tcBorders>
              <w:top w:val="nil"/>
              <w:left w:val="nil"/>
              <w:bottom w:val="single" w:sz="8" w:space="0" w:color="auto"/>
              <w:right w:val="nil"/>
            </w:tcBorders>
            <w:vAlign w:val="bottom"/>
            <w:hideMark/>
          </w:tcPr>
          <w:p w:rsidR="00E87C4D" w:rsidRPr="002C1572" w:rsidRDefault="00E87C4D" w:rsidP="00E87C4D">
            <w:pPr>
              <w:spacing w:after="0" w:line="240" w:lineRule="auto"/>
              <w:jc w:val="center"/>
              <w:rPr>
                <w:rFonts w:asciiTheme="minorHAnsi" w:eastAsia="Times New Roman" w:hAnsiTheme="minorHAnsi" w:cs="Times New Roman"/>
                <w:szCs w:val="20"/>
              </w:rPr>
            </w:pPr>
            <w:r w:rsidRPr="002C1572">
              <w:rPr>
                <w:rFonts w:asciiTheme="minorHAnsi" w:eastAsia="Times New Roman" w:hAnsiTheme="minorHAnsi" w:cs="Arial"/>
                <w:szCs w:val="20"/>
              </w:rPr>
              <w:t>2014</w:t>
            </w:r>
          </w:p>
        </w:tc>
      </w:tr>
      <w:tr w:rsidR="00E87C4D" w:rsidRPr="002C1572" w:rsidTr="00E87C4D">
        <w:tc>
          <w:tcPr>
            <w:tcW w:w="1831" w:type="pct"/>
            <w:tcBorders>
              <w:top w:val="nil"/>
              <w:left w:val="nil"/>
              <w:bottom w:val="single" w:sz="8" w:space="0" w:color="auto"/>
              <w:right w:val="nil"/>
            </w:tcBorders>
            <w:hideMark/>
          </w:tcPr>
          <w:p w:rsidR="00E87C4D" w:rsidRPr="002C1572" w:rsidRDefault="00E87C4D" w:rsidP="00E87C4D">
            <w:pPr>
              <w:spacing w:after="0" w:line="240" w:lineRule="auto"/>
              <w:ind w:left="202" w:hanging="202"/>
              <w:rPr>
                <w:rFonts w:asciiTheme="minorHAnsi" w:eastAsia="Times New Roman" w:hAnsiTheme="minorHAnsi" w:cs="Times New Roman"/>
                <w:szCs w:val="20"/>
              </w:rPr>
            </w:pPr>
            <w:r w:rsidRPr="002C1572">
              <w:rPr>
                <w:rFonts w:asciiTheme="minorHAnsi" w:eastAsia="Times New Roman" w:hAnsiTheme="minorHAnsi" w:cs="Arial"/>
                <w:szCs w:val="20"/>
              </w:rPr>
              <w:t>December 31,</w:t>
            </w:r>
          </w:p>
        </w:tc>
        <w:tc>
          <w:tcPr>
            <w:tcW w:w="50"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8"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Level 11</w:t>
            </w:r>
          </w:p>
        </w:tc>
        <w:tc>
          <w:tcPr>
            <w:tcW w:w="50"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8"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Level 22</w:t>
            </w:r>
          </w:p>
        </w:tc>
        <w:tc>
          <w:tcPr>
            <w:tcW w:w="50"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8"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Level 33</w:t>
            </w:r>
          </w:p>
        </w:tc>
        <w:tc>
          <w:tcPr>
            <w:tcW w:w="50"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tcBorders>
              <w:top w:val="nil"/>
              <w:left w:val="nil"/>
              <w:bottom w:val="single" w:sz="8" w:space="0" w:color="auto"/>
              <w:right w:val="nil"/>
            </w:tcBorders>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szCs w:val="20"/>
              </w:rPr>
              <w:t>Total</w:t>
            </w:r>
          </w:p>
        </w:tc>
        <w:tc>
          <w:tcPr>
            <w:tcW w:w="58"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8"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Level 11 </w:t>
            </w:r>
          </w:p>
        </w:tc>
        <w:tc>
          <w:tcPr>
            <w:tcW w:w="50"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8"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Level 22 </w:t>
            </w:r>
          </w:p>
        </w:tc>
        <w:tc>
          <w:tcPr>
            <w:tcW w:w="50"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8"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Level 33 </w:t>
            </w:r>
          </w:p>
        </w:tc>
        <w:tc>
          <w:tcPr>
            <w:tcW w:w="50"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tcBorders>
              <w:top w:val="nil"/>
              <w:left w:val="nil"/>
              <w:bottom w:val="single" w:sz="8"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Total</w:t>
            </w:r>
          </w:p>
        </w:tc>
        <w:tc>
          <w:tcPr>
            <w:tcW w:w="33" w:type="pct"/>
            <w:tcBorders>
              <w:top w:val="nil"/>
              <w:left w:val="nil"/>
              <w:bottom w:val="single" w:sz="8"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before="20" w:after="0" w:line="240" w:lineRule="auto"/>
              <w:ind w:left="202" w:hanging="202"/>
              <w:rPr>
                <w:rFonts w:asciiTheme="minorHAnsi" w:eastAsia="Times New Roman" w:hAnsiTheme="minorHAnsi" w:cs="Times New Roman"/>
                <w:szCs w:val="20"/>
              </w:rPr>
            </w:pPr>
            <w:r w:rsidRPr="002C1572">
              <w:rPr>
                <w:rFonts w:asciiTheme="minorHAnsi" w:eastAsia="Times New Roman" w:hAnsiTheme="minorHAnsi" w:cs="Arial"/>
                <w:i/>
                <w:iCs/>
                <w:szCs w:val="20"/>
              </w:rPr>
              <w:t>(millions of Canadian dollars)</w:t>
            </w:r>
          </w:p>
        </w:tc>
        <w:tc>
          <w:tcPr>
            <w:tcW w:w="50" w:type="pct"/>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before="20"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before="20"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before="20"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before="20"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8" w:type="pct"/>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before="20"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before="20"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before="20"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before="20"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 w:type="pct"/>
            <w:vAlign w:val="bottom"/>
            <w:hideMark/>
          </w:tcPr>
          <w:p w:rsidR="00E87C4D" w:rsidRPr="002C1572" w:rsidRDefault="00E87C4D" w:rsidP="00E87C4D">
            <w:pPr>
              <w:spacing w:before="20"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202" w:hanging="202"/>
              <w:rPr>
                <w:rFonts w:asciiTheme="minorHAnsi" w:eastAsia="Times New Roman" w:hAnsiTheme="minorHAnsi" w:cs="Times New Roman"/>
                <w:szCs w:val="20"/>
              </w:rPr>
            </w:pPr>
            <w:r w:rsidRPr="002C1572">
              <w:rPr>
                <w:rFonts w:asciiTheme="minorHAnsi" w:eastAsia="Times New Roman" w:hAnsiTheme="minorHAnsi" w:cs="Arial"/>
                <w:b/>
                <w:bCs/>
                <w:szCs w:val="20"/>
              </w:rPr>
              <w:t>Pension</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Cash and cash equivalents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37</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37</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42</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42</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Fixed income securities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Canadian government bonds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131</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131</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121</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121</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Corporate bonds and debentures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5</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3</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8</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4</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4</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8</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Canadian corporate bond index fund</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259</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259</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254</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254</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Canadian government bond index fund</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201</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201</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198</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198</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United States debt index fund</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102</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102</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84</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84</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Equity</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Canadian equity securities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133</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133</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131</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131</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United States equity securities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2</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2</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31</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31</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Global equity securities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106</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25</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131</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11</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11</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Canadian equity funds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253</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253</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255</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255</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0" w:hanging="200"/>
              <w:rPr>
                <w:rFonts w:asciiTheme="minorHAnsi" w:eastAsia="Times New Roman" w:hAnsiTheme="minorHAnsi" w:cs="Times New Roman"/>
                <w:szCs w:val="20"/>
              </w:rPr>
            </w:pPr>
            <w:r w:rsidRPr="002C1572">
              <w:rPr>
                <w:rFonts w:asciiTheme="minorHAnsi" w:eastAsia="Times New Roman" w:hAnsiTheme="minorHAnsi" w:cs="Arial"/>
                <w:szCs w:val="20"/>
              </w:rPr>
              <w:t>United States equity funds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243</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5</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248</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185</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36</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221</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0" w:hanging="200"/>
              <w:rPr>
                <w:rFonts w:asciiTheme="minorHAnsi" w:eastAsia="Times New Roman" w:hAnsiTheme="minorHAnsi" w:cs="Times New Roman"/>
                <w:szCs w:val="20"/>
              </w:rPr>
            </w:pPr>
            <w:r w:rsidRPr="002C1572">
              <w:rPr>
                <w:rFonts w:asciiTheme="minorHAnsi" w:eastAsia="Times New Roman" w:hAnsiTheme="minorHAnsi" w:cs="Arial"/>
                <w:szCs w:val="20"/>
              </w:rPr>
              <w:t>Global equity funds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161</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148</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309</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342</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134</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476</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Infrastructure4</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182</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182</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51</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51</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Real estate4</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115</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115</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81</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81</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tcBorders>
              <w:top w:val="nil"/>
              <w:left w:val="nil"/>
              <w:bottom w:val="single" w:sz="12" w:space="0" w:color="auto"/>
              <w:right w:val="nil"/>
            </w:tcBorders>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highlight w:val="yellow"/>
              </w:rPr>
            </w:pPr>
            <w:r w:rsidRPr="002C1572">
              <w:rPr>
                <w:rFonts w:asciiTheme="minorHAnsi" w:eastAsia="Times New Roman" w:hAnsiTheme="minorHAnsi" w:cs="Arial"/>
                <w:szCs w:val="20"/>
                <w:highlight w:val="yellow"/>
              </w:rPr>
              <w:t>Forward currency contracts</w:t>
            </w:r>
          </w:p>
        </w:tc>
        <w:tc>
          <w:tcPr>
            <w:tcW w:w="50" w:type="pct"/>
            <w:tcBorders>
              <w:top w:val="nil"/>
              <w:left w:val="nil"/>
              <w:bottom w:val="single" w:sz="12"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highlight w:val="yellow"/>
              </w:rPr>
            </w:pPr>
            <w:r w:rsidRPr="002C1572">
              <w:rPr>
                <w:rFonts w:asciiTheme="minorHAnsi" w:eastAsia="Times New Roman" w:hAnsiTheme="minorHAnsi" w:cs="Times New Roman"/>
                <w:szCs w:val="20"/>
                <w:highlight w:val="yellow"/>
              </w:rPr>
              <w:t> </w:t>
            </w:r>
          </w:p>
        </w:tc>
        <w:tc>
          <w:tcPr>
            <w:tcW w:w="34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highlight w:val="yellow"/>
              </w:rPr>
            </w:pPr>
            <w:r w:rsidRPr="002C1572">
              <w:rPr>
                <w:rFonts w:asciiTheme="minorHAnsi" w:eastAsia="Times New Roman" w:hAnsiTheme="minorHAnsi" w:cs="Arial"/>
                <w:b/>
                <w:bCs/>
                <w:szCs w:val="20"/>
                <w:highlight w:val="yellow"/>
              </w:rPr>
              <w:t>-</w:t>
            </w:r>
          </w:p>
        </w:tc>
        <w:tc>
          <w:tcPr>
            <w:tcW w:w="5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highlight w:val="yellow"/>
              </w:rPr>
            </w:pPr>
            <w:r w:rsidRPr="002C1572">
              <w:rPr>
                <w:rFonts w:asciiTheme="minorHAnsi" w:eastAsia="Times New Roman" w:hAnsiTheme="minorHAnsi" w:cs="Times New Roman"/>
                <w:szCs w:val="20"/>
                <w:highlight w:val="yellow"/>
              </w:rPr>
              <w:t> </w:t>
            </w:r>
          </w:p>
        </w:tc>
        <w:tc>
          <w:tcPr>
            <w:tcW w:w="34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highlight w:val="yellow"/>
              </w:rPr>
            </w:pPr>
            <w:r w:rsidRPr="002C1572">
              <w:rPr>
                <w:rFonts w:asciiTheme="minorHAnsi" w:eastAsia="Times New Roman" w:hAnsiTheme="minorHAnsi" w:cs="Arial"/>
                <w:b/>
                <w:bCs/>
                <w:szCs w:val="20"/>
                <w:highlight w:val="yellow"/>
              </w:rPr>
              <w:t>(10)</w:t>
            </w:r>
          </w:p>
        </w:tc>
        <w:tc>
          <w:tcPr>
            <w:tcW w:w="5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highlight w:val="yellow"/>
              </w:rPr>
            </w:pPr>
            <w:r w:rsidRPr="002C1572">
              <w:rPr>
                <w:rFonts w:asciiTheme="minorHAnsi" w:eastAsia="Times New Roman" w:hAnsiTheme="minorHAnsi" w:cs="Times New Roman"/>
                <w:szCs w:val="20"/>
                <w:highlight w:val="yellow"/>
              </w:rPr>
              <w:t> </w:t>
            </w:r>
          </w:p>
        </w:tc>
        <w:tc>
          <w:tcPr>
            <w:tcW w:w="34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highlight w:val="yellow"/>
              </w:rPr>
            </w:pPr>
            <w:r w:rsidRPr="002C1572">
              <w:rPr>
                <w:rFonts w:asciiTheme="minorHAnsi" w:eastAsia="Times New Roman" w:hAnsiTheme="minorHAnsi" w:cs="Arial"/>
                <w:b/>
                <w:bCs/>
                <w:szCs w:val="20"/>
                <w:highlight w:val="yellow"/>
              </w:rPr>
              <w:t>-</w:t>
            </w:r>
          </w:p>
        </w:tc>
        <w:tc>
          <w:tcPr>
            <w:tcW w:w="5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highlight w:val="yellow"/>
              </w:rPr>
            </w:pPr>
            <w:r w:rsidRPr="002C1572">
              <w:rPr>
                <w:rFonts w:asciiTheme="minorHAnsi" w:eastAsia="Times New Roman" w:hAnsiTheme="minorHAnsi" w:cs="Times New Roman"/>
                <w:szCs w:val="20"/>
                <w:highlight w:val="yellow"/>
              </w:rPr>
              <w:t> </w:t>
            </w:r>
          </w:p>
        </w:tc>
        <w:tc>
          <w:tcPr>
            <w:tcW w:w="332"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14"/>
              <w:jc w:val="right"/>
              <w:rPr>
                <w:rFonts w:asciiTheme="minorHAnsi" w:eastAsia="Times New Roman" w:hAnsiTheme="minorHAnsi" w:cs="Times New Roman"/>
                <w:szCs w:val="20"/>
                <w:highlight w:val="yellow"/>
              </w:rPr>
            </w:pPr>
            <w:r w:rsidRPr="002C1572">
              <w:rPr>
                <w:rFonts w:asciiTheme="minorHAnsi" w:eastAsia="Times New Roman" w:hAnsiTheme="minorHAnsi" w:cs="Arial"/>
                <w:b/>
                <w:bCs/>
                <w:szCs w:val="20"/>
                <w:highlight w:val="yellow"/>
              </w:rPr>
              <w:t>(10)</w:t>
            </w:r>
          </w:p>
        </w:tc>
        <w:tc>
          <w:tcPr>
            <w:tcW w:w="58"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highlight w:val="yellow"/>
              </w:rPr>
            </w:pPr>
            <w:r w:rsidRPr="002C1572">
              <w:rPr>
                <w:rFonts w:asciiTheme="minorHAnsi" w:eastAsia="Times New Roman" w:hAnsiTheme="minorHAnsi" w:cs="Times New Roman"/>
                <w:szCs w:val="20"/>
                <w:highlight w:val="yellow"/>
              </w:rPr>
              <w:t> </w:t>
            </w:r>
          </w:p>
        </w:tc>
        <w:tc>
          <w:tcPr>
            <w:tcW w:w="34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highlight w:val="yellow"/>
              </w:rPr>
            </w:pPr>
            <w:r w:rsidRPr="002C1572">
              <w:rPr>
                <w:rFonts w:asciiTheme="minorHAnsi" w:eastAsia="Times New Roman" w:hAnsiTheme="minorHAnsi" w:cs="Arial"/>
                <w:szCs w:val="20"/>
                <w:highlight w:val="yellow"/>
              </w:rPr>
              <w:t>-</w:t>
            </w:r>
          </w:p>
        </w:tc>
        <w:tc>
          <w:tcPr>
            <w:tcW w:w="5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highlight w:val="yellow"/>
              </w:rPr>
            </w:pPr>
            <w:r w:rsidRPr="002C1572">
              <w:rPr>
                <w:rFonts w:asciiTheme="minorHAnsi" w:eastAsia="Times New Roman" w:hAnsiTheme="minorHAnsi" w:cs="Times New Roman"/>
                <w:szCs w:val="20"/>
                <w:highlight w:val="yellow"/>
              </w:rPr>
              <w:t> </w:t>
            </w:r>
          </w:p>
        </w:tc>
        <w:tc>
          <w:tcPr>
            <w:tcW w:w="340" w:type="pct"/>
            <w:tcBorders>
              <w:top w:val="nil"/>
              <w:left w:val="nil"/>
              <w:bottom w:val="single" w:sz="12"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highlight w:val="yellow"/>
              </w:rPr>
            </w:pPr>
            <w:r w:rsidRPr="002C1572">
              <w:rPr>
                <w:rFonts w:asciiTheme="minorHAnsi" w:eastAsia="Times New Roman" w:hAnsiTheme="minorHAnsi" w:cs="Arial"/>
                <w:szCs w:val="20"/>
                <w:highlight w:val="yellow"/>
              </w:rPr>
              <w:t>(1)</w:t>
            </w:r>
          </w:p>
        </w:tc>
        <w:tc>
          <w:tcPr>
            <w:tcW w:w="5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highlight w:val="yellow"/>
              </w:rPr>
            </w:pPr>
            <w:r w:rsidRPr="002C1572">
              <w:rPr>
                <w:rFonts w:asciiTheme="minorHAnsi" w:eastAsia="Times New Roman" w:hAnsiTheme="minorHAnsi" w:cs="Times New Roman"/>
                <w:szCs w:val="20"/>
                <w:highlight w:val="yellow"/>
              </w:rPr>
              <w:t> </w:t>
            </w:r>
          </w:p>
        </w:tc>
        <w:tc>
          <w:tcPr>
            <w:tcW w:w="34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highlight w:val="yellow"/>
              </w:rPr>
            </w:pPr>
            <w:r w:rsidRPr="002C1572">
              <w:rPr>
                <w:rFonts w:asciiTheme="minorHAnsi" w:eastAsia="Times New Roman" w:hAnsiTheme="minorHAnsi" w:cs="Arial"/>
                <w:szCs w:val="20"/>
                <w:highlight w:val="yellow"/>
              </w:rPr>
              <w:t>-</w:t>
            </w:r>
          </w:p>
        </w:tc>
        <w:tc>
          <w:tcPr>
            <w:tcW w:w="50" w:type="pct"/>
            <w:tcBorders>
              <w:top w:val="nil"/>
              <w:left w:val="nil"/>
              <w:bottom w:val="single" w:sz="12"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highlight w:val="yellow"/>
              </w:rPr>
            </w:pPr>
            <w:r w:rsidRPr="002C1572">
              <w:rPr>
                <w:rFonts w:asciiTheme="minorHAnsi" w:eastAsia="Times New Roman" w:hAnsiTheme="minorHAnsi" w:cs="Times New Roman"/>
                <w:szCs w:val="20"/>
                <w:highlight w:val="yellow"/>
              </w:rPr>
              <w:t> </w:t>
            </w:r>
          </w:p>
        </w:tc>
        <w:tc>
          <w:tcPr>
            <w:tcW w:w="356" w:type="pct"/>
            <w:tcBorders>
              <w:top w:val="nil"/>
              <w:left w:val="nil"/>
              <w:bottom w:val="single" w:sz="12"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highlight w:val="yellow"/>
              </w:rPr>
            </w:pPr>
            <w:r w:rsidRPr="002C1572">
              <w:rPr>
                <w:rFonts w:asciiTheme="minorHAnsi" w:eastAsia="Times New Roman" w:hAnsiTheme="minorHAnsi" w:cs="Arial"/>
                <w:szCs w:val="20"/>
                <w:highlight w:val="yellow"/>
              </w:rPr>
              <w:t>(1</w:t>
            </w:r>
          </w:p>
        </w:tc>
        <w:tc>
          <w:tcPr>
            <w:tcW w:w="33" w:type="pct"/>
            <w:tcBorders>
              <w:top w:val="nil"/>
              <w:left w:val="nil"/>
              <w:bottom w:val="single" w:sz="12"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Arial"/>
                <w:szCs w:val="20"/>
                <w:highlight w:val="yellow"/>
              </w:rPr>
              <w:t>)</w:t>
            </w:r>
          </w:p>
        </w:tc>
      </w:tr>
      <w:tr w:rsidR="00E87C4D" w:rsidRPr="002C1572" w:rsidTr="00E87C4D">
        <w:tc>
          <w:tcPr>
            <w:tcW w:w="1831" w:type="pct"/>
            <w:hideMark/>
          </w:tcPr>
          <w:p w:rsidR="00E87C4D" w:rsidRPr="002C1572" w:rsidRDefault="00E87C4D" w:rsidP="00E87C4D">
            <w:pPr>
              <w:spacing w:after="0" w:line="240" w:lineRule="auto"/>
              <w:ind w:left="202" w:hanging="202"/>
              <w:rPr>
                <w:rFonts w:asciiTheme="minorHAnsi" w:eastAsia="Times New Roman" w:hAnsiTheme="minorHAnsi" w:cs="Times New Roman"/>
                <w:szCs w:val="20"/>
              </w:rPr>
            </w:pPr>
            <w:r w:rsidRPr="002C1572">
              <w:rPr>
                <w:rFonts w:asciiTheme="minorHAnsi" w:eastAsia="Times New Roman" w:hAnsiTheme="minorHAnsi" w:cs="Arial"/>
                <w:b/>
                <w:bCs/>
                <w:szCs w:val="20"/>
              </w:rPr>
              <w:t>OPEB</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Cash and cash equivalents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2</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2</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1</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1</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Fixed income securities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rPr>
                <w:rFonts w:asciiTheme="minorHAnsi" w:eastAsia="Times New Roman" w:hAnsiTheme="minorHAnsi" w:cs="Times New Roman"/>
                <w:szCs w:val="20"/>
              </w:rPr>
            </w:pPr>
            <w:r w:rsidRPr="002C1572">
              <w:rPr>
                <w:rFonts w:asciiTheme="minorHAnsi" w:eastAsia="Times New Roman" w:hAnsiTheme="minorHAnsi" w:cs="Arial"/>
                <w:szCs w:val="20"/>
              </w:rPr>
              <w:t>United States government and government agency bonds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46</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46</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39</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39</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404"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Equity</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United States equity funds</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34</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34</w:t>
            </w:r>
          </w:p>
        </w:tc>
        <w:tc>
          <w:tcPr>
            <w:tcW w:w="58"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30</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30</w:t>
            </w:r>
          </w:p>
        </w:tc>
        <w:tc>
          <w:tcPr>
            <w:tcW w:w="33" w:type="pct"/>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r w:rsidR="00E87C4D" w:rsidRPr="002C1572" w:rsidTr="00E87C4D">
        <w:tc>
          <w:tcPr>
            <w:tcW w:w="1831" w:type="pct"/>
            <w:tcBorders>
              <w:top w:val="nil"/>
              <w:left w:val="nil"/>
              <w:bottom w:val="single" w:sz="12" w:space="0" w:color="auto"/>
              <w:right w:val="nil"/>
            </w:tcBorders>
            <w:hideMark/>
          </w:tcPr>
          <w:p w:rsidR="00E87C4D" w:rsidRPr="002C1572" w:rsidRDefault="00E87C4D" w:rsidP="00E87C4D">
            <w:pPr>
              <w:spacing w:after="0" w:line="240" w:lineRule="auto"/>
              <w:ind w:left="606" w:hanging="202"/>
              <w:jc w:val="both"/>
              <w:rPr>
                <w:rFonts w:asciiTheme="minorHAnsi" w:eastAsia="Times New Roman" w:hAnsiTheme="minorHAnsi" w:cs="Times New Roman"/>
                <w:szCs w:val="20"/>
              </w:rPr>
            </w:pPr>
            <w:r w:rsidRPr="002C1572">
              <w:rPr>
                <w:rFonts w:asciiTheme="minorHAnsi" w:eastAsia="Times New Roman" w:hAnsiTheme="minorHAnsi" w:cs="Arial"/>
                <w:szCs w:val="20"/>
              </w:rPr>
              <w:t>Global equity funds</w:t>
            </w:r>
          </w:p>
        </w:tc>
        <w:tc>
          <w:tcPr>
            <w:tcW w:w="50" w:type="pct"/>
            <w:tcBorders>
              <w:top w:val="nil"/>
              <w:left w:val="nil"/>
              <w:bottom w:val="single" w:sz="12"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34</w:t>
            </w:r>
          </w:p>
        </w:tc>
        <w:tc>
          <w:tcPr>
            <w:tcW w:w="5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72"/>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b/>
                <w:bCs/>
                <w:szCs w:val="20"/>
              </w:rPr>
              <w:t>-</w:t>
            </w:r>
          </w:p>
        </w:tc>
        <w:tc>
          <w:tcPr>
            <w:tcW w:w="50"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32" w:type="pct"/>
            <w:tcBorders>
              <w:top w:val="nil"/>
              <w:left w:val="nil"/>
              <w:bottom w:val="single" w:sz="12" w:space="0" w:color="auto"/>
              <w:right w:val="nil"/>
            </w:tcBorders>
            <w:shd w:val="clear" w:color="auto" w:fill="D9D9D9"/>
            <w:vAlign w:val="bottom"/>
            <w:hideMark/>
          </w:tcPr>
          <w:p w:rsidR="00E87C4D" w:rsidRPr="002C1572" w:rsidRDefault="00E87C4D" w:rsidP="00E87C4D">
            <w:pPr>
              <w:spacing w:after="0" w:line="240" w:lineRule="auto"/>
              <w:ind w:right="58"/>
              <w:jc w:val="right"/>
              <w:rPr>
                <w:rFonts w:asciiTheme="minorHAnsi" w:eastAsia="Times New Roman" w:hAnsiTheme="minorHAnsi" w:cs="Times New Roman"/>
                <w:szCs w:val="20"/>
              </w:rPr>
            </w:pPr>
            <w:r w:rsidRPr="002C1572">
              <w:rPr>
                <w:rFonts w:asciiTheme="minorHAnsi" w:eastAsia="Times New Roman" w:hAnsiTheme="minorHAnsi" w:cs="Arial"/>
                <w:b/>
                <w:bCs/>
                <w:szCs w:val="20"/>
              </w:rPr>
              <w:t>34</w:t>
            </w:r>
          </w:p>
        </w:tc>
        <w:tc>
          <w:tcPr>
            <w:tcW w:w="58"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27</w:t>
            </w:r>
          </w:p>
        </w:tc>
        <w:tc>
          <w:tcPr>
            <w:tcW w:w="5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40" w:type="pct"/>
            <w:tcBorders>
              <w:top w:val="nil"/>
              <w:left w:val="nil"/>
              <w:bottom w:val="single" w:sz="12" w:space="0" w:color="auto"/>
              <w:right w:val="nil"/>
            </w:tcBorders>
            <w:vAlign w:val="bottom"/>
            <w:hideMark/>
          </w:tcPr>
          <w:p w:rsidR="00E87C4D" w:rsidRPr="002C1572" w:rsidRDefault="00E87C4D" w:rsidP="00E87C4D">
            <w:pPr>
              <w:spacing w:after="0" w:line="240" w:lineRule="auto"/>
              <w:ind w:right="43"/>
              <w:jc w:val="right"/>
              <w:rPr>
                <w:rFonts w:asciiTheme="minorHAnsi" w:eastAsia="Times New Roman" w:hAnsiTheme="minorHAnsi" w:cs="Times New Roman"/>
                <w:szCs w:val="20"/>
              </w:rPr>
            </w:pPr>
            <w:r w:rsidRPr="002C1572">
              <w:rPr>
                <w:rFonts w:asciiTheme="minorHAnsi" w:eastAsia="Times New Roman" w:hAnsiTheme="minorHAnsi" w:cs="Arial"/>
                <w:szCs w:val="20"/>
              </w:rPr>
              <w:t>-</w:t>
            </w:r>
          </w:p>
        </w:tc>
        <w:tc>
          <w:tcPr>
            <w:tcW w:w="50" w:type="pct"/>
            <w:tcBorders>
              <w:top w:val="nil"/>
              <w:left w:val="nil"/>
              <w:bottom w:val="single" w:sz="12"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c>
          <w:tcPr>
            <w:tcW w:w="356" w:type="pct"/>
            <w:tcBorders>
              <w:top w:val="nil"/>
              <w:left w:val="nil"/>
              <w:bottom w:val="single" w:sz="12" w:space="0" w:color="auto"/>
              <w:right w:val="nil"/>
            </w:tcBorders>
            <w:vAlign w:val="bottom"/>
            <w:hideMark/>
          </w:tcPr>
          <w:p w:rsidR="00E87C4D" w:rsidRPr="002C1572" w:rsidRDefault="00E87C4D" w:rsidP="00E87C4D">
            <w:pPr>
              <w:spacing w:after="0" w:line="240" w:lineRule="auto"/>
              <w:jc w:val="right"/>
              <w:rPr>
                <w:rFonts w:asciiTheme="minorHAnsi" w:eastAsia="Times New Roman" w:hAnsiTheme="minorHAnsi" w:cs="Times New Roman"/>
                <w:szCs w:val="20"/>
              </w:rPr>
            </w:pPr>
            <w:r w:rsidRPr="002C1572">
              <w:rPr>
                <w:rFonts w:asciiTheme="minorHAnsi" w:eastAsia="Times New Roman" w:hAnsiTheme="minorHAnsi" w:cs="Arial"/>
                <w:szCs w:val="20"/>
              </w:rPr>
              <w:t>27</w:t>
            </w:r>
          </w:p>
        </w:tc>
        <w:tc>
          <w:tcPr>
            <w:tcW w:w="33" w:type="pct"/>
            <w:tcBorders>
              <w:top w:val="nil"/>
              <w:left w:val="nil"/>
              <w:bottom w:val="single" w:sz="12" w:space="0" w:color="auto"/>
              <w:right w:val="nil"/>
            </w:tcBorders>
            <w:vAlign w:val="bottom"/>
            <w:hideMark/>
          </w:tcPr>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Times New Roman"/>
                <w:szCs w:val="20"/>
              </w:rPr>
              <w:t> </w:t>
            </w:r>
          </w:p>
        </w:tc>
      </w:tr>
    </w:tbl>
    <w:p w:rsidR="00E87C4D" w:rsidRPr="002C1572" w:rsidRDefault="00E87C4D" w:rsidP="00E87C4D">
      <w:pPr>
        <w:spacing w:after="0" w:line="240" w:lineRule="auto"/>
        <w:ind w:left="360" w:hanging="360"/>
        <w:rPr>
          <w:rFonts w:asciiTheme="minorHAnsi" w:eastAsia="Times New Roman" w:hAnsiTheme="minorHAnsi" w:cs="Times New Roman"/>
          <w:szCs w:val="20"/>
        </w:rPr>
      </w:pPr>
      <w:r w:rsidRPr="002C1572">
        <w:rPr>
          <w:rFonts w:asciiTheme="minorHAnsi" w:eastAsia="Times New Roman" w:hAnsiTheme="minorHAnsi" w:cs="Arial"/>
          <w:i/>
          <w:iCs/>
          <w:szCs w:val="20"/>
        </w:rPr>
        <w:t>1</w:t>
      </w:r>
      <w:r w:rsidRPr="002C1572">
        <w:rPr>
          <w:rFonts w:asciiTheme="minorHAnsi" w:eastAsia="Times New Roman" w:hAnsiTheme="minorHAnsi" w:cs="Arial"/>
          <w:szCs w:val="20"/>
        </w:rPr>
        <w:t xml:space="preserve">                  </w:t>
      </w:r>
      <w:r w:rsidRPr="002C1572">
        <w:rPr>
          <w:rFonts w:asciiTheme="minorHAnsi" w:eastAsia="Times New Roman" w:hAnsiTheme="minorHAnsi" w:cs="Arial"/>
          <w:i/>
          <w:iCs/>
          <w:color w:val="000000"/>
          <w:szCs w:val="20"/>
        </w:rPr>
        <w:t>Level 1 assets include assets with quoted prices in active markets for identical assets.</w:t>
      </w:r>
    </w:p>
    <w:p w:rsidR="00E87C4D" w:rsidRPr="002C1572" w:rsidRDefault="00E87C4D" w:rsidP="00E87C4D">
      <w:pPr>
        <w:spacing w:after="0" w:line="240" w:lineRule="auto"/>
        <w:ind w:left="360" w:hanging="360"/>
        <w:rPr>
          <w:rFonts w:asciiTheme="minorHAnsi" w:eastAsia="Times New Roman" w:hAnsiTheme="minorHAnsi" w:cs="Times New Roman"/>
          <w:szCs w:val="20"/>
        </w:rPr>
      </w:pPr>
      <w:r w:rsidRPr="002C1572">
        <w:rPr>
          <w:rFonts w:asciiTheme="minorHAnsi" w:eastAsia="Times New Roman" w:hAnsiTheme="minorHAnsi" w:cs="Arial"/>
          <w:i/>
          <w:iCs/>
          <w:szCs w:val="20"/>
        </w:rPr>
        <w:t>2</w:t>
      </w:r>
      <w:r w:rsidRPr="002C1572">
        <w:rPr>
          <w:rFonts w:asciiTheme="minorHAnsi" w:eastAsia="Times New Roman" w:hAnsiTheme="minorHAnsi" w:cs="Arial"/>
          <w:szCs w:val="20"/>
        </w:rPr>
        <w:t xml:space="preserve">                  </w:t>
      </w:r>
      <w:r w:rsidRPr="002C1572">
        <w:rPr>
          <w:rFonts w:asciiTheme="minorHAnsi" w:eastAsia="Times New Roman" w:hAnsiTheme="minorHAnsi" w:cs="Arial"/>
          <w:i/>
          <w:iCs/>
          <w:color w:val="000000"/>
          <w:szCs w:val="20"/>
        </w:rPr>
        <w:t>Level 2 assets include assets with significant observable inputs.</w:t>
      </w:r>
    </w:p>
    <w:p w:rsidR="00E87C4D" w:rsidRPr="002C1572" w:rsidRDefault="00E87C4D" w:rsidP="00E87C4D">
      <w:pPr>
        <w:spacing w:after="0" w:line="240" w:lineRule="auto"/>
        <w:ind w:left="360" w:hanging="360"/>
        <w:rPr>
          <w:rFonts w:asciiTheme="minorHAnsi" w:eastAsia="Times New Roman" w:hAnsiTheme="minorHAnsi" w:cs="Times New Roman"/>
          <w:szCs w:val="20"/>
        </w:rPr>
      </w:pPr>
      <w:r w:rsidRPr="002C1572">
        <w:rPr>
          <w:rFonts w:asciiTheme="minorHAnsi" w:eastAsia="Times New Roman" w:hAnsiTheme="minorHAnsi" w:cs="Arial"/>
          <w:i/>
          <w:iCs/>
          <w:szCs w:val="20"/>
        </w:rPr>
        <w:t>3</w:t>
      </w:r>
      <w:r w:rsidRPr="002C1572">
        <w:rPr>
          <w:rFonts w:asciiTheme="minorHAnsi" w:eastAsia="Times New Roman" w:hAnsiTheme="minorHAnsi" w:cs="Arial"/>
          <w:szCs w:val="20"/>
        </w:rPr>
        <w:t xml:space="preserve">                  </w:t>
      </w:r>
      <w:r w:rsidRPr="002C1572">
        <w:rPr>
          <w:rFonts w:asciiTheme="minorHAnsi" w:eastAsia="Times New Roman" w:hAnsiTheme="minorHAnsi" w:cs="Arial"/>
          <w:i/>
          <w:iCs/>
          <w:color w:val="000000"/>
          <w:szCs w:val="20"/>
        </w:rPr>
        <w:t>Level 3 assets include assets with significant unobservable inputs.</w:t>
      </w:r>
    </w:p>
    <w:p w:rsidR="00E87C4D" w:rsidRPr="002C1572" w:rsidRDefault="00E87C4D" w:rsidP="00E87C4D">
      <w:pPr>
        <w:spacing w:after="0" w:line="240" w:lineRule="auto"/>
        <w:ind w:left="360" w:hanging="360"/>
        <w:rPr>
          <w:rFonts w:asciiTheme="minorHAnsi" w:eastAsia="Times New Roman" w:hAnsiTheme="minorHAnsi" w:cs="Times New Roman"/>
          <w:szCs w:val="20"/>
        </w:rPr>
      </w:pPr>
      <w:r w:rsidRPr="002C1572">
        <w:rPr>
          <w:rFonts w:asciiTheme="minorHAnsi" w:eastAsia="Times New Roman" w:hAnsiTheme="minorHAnsi" w:cs="Arial"/>
          <w:i/>
          <w:iCs/>
          <w:szCs w:val="20"/>
        </w:rPr>
        <w:t>4</w:t>
      </w:r>
      <w:r w:rsidRPr="002C1572">
        <w:rPr>
          <w:rFonts w:asciiTheme="minorHAnsi" w:eastAsia="Times New Roman" w:hAnsiTheme="minorHAnsi" w:cs="Arial"/>
          <w:szCs w:val="20"/>
        </w:rPr>
        <w:t xml:space="preserve">                  </w:t>
      </w:r>
      <w:r w:rsidRPr="002C1572">
        <w:rPr>
          <w:rFonts w:asciiTheme="minorHAnsi" w:eastAsia="Times New Roman" w:hAnsiTheme="minorHAnsi" w:cs="Arial"/>
          <w:i/>
          <w:iCs/>
          <w:color w:val="000000"/>
          <w:szCs w:val="20"/>
        </w:rPr>
        <w:t>The fair values of the infrastructure and real estate investments are established through the use of valuation models.</w:t>
      </w:r>
    </w:p>
    <w:p w:rsidR="00E87C4D" w:rsidRPr="002C1572" w:rsidRDefault="00E87C4D" w:rsidP="00E87C4D">
      <w:pPr>
        <w:spacing w:after="0" w:line="240" w:lineRule="auto"/>
        <w:rPr>
          <w:rFonts w:asciiTheme="minorHAnsi" w:eastAsia="Times New Roman" w:hAnsiTheme="minorHAnsi" w:cs="Times New Roman"/>
          <w:szCs w:val="20"/>
        </w:rPr>
      </w:pPr>
      <w:r w:rsidRPr="002C1572">
        <w:rPr>
          <w:rFonts w:asciiTheme="minorHAnsi" w:eastAsia="Times New Roman" w:hAnsiTheme="minorHAnsi" w:cs="Arial"/>
          <w:szCs w:val="20"/>
        </w:rPr>
        <w:t> </w:t>
      </w:r>
    </w:p>
    <w:p w:rsidR="00E87C4D" w:rsidRDefault="00E87C4D"/>
    <w:p w:rsidR="00E87C4D" w:rsidRDefault="00E87C4D"/>
    <w:p w:rsidR="00E87C4D" w:rsidRDefault="00E87C4D"/>
    <w:p w:rsidR="00E87C4D" w:rsidRDefault="00E87C4D"/>
    <w:sectPr w:rsidR="00E87C4D" w:rsidSect="0086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4D"/>
    <w:rsid w:val="00005A4E"/>
    <w:rsid w:val="0001719C"/>
    <w:rsid w:val="00032F81"/>
    <w:rsid w:val="001304C7"/>
    <w:rsid w:val="00131BB7"/>
    <w:rsid w:val="00196E7A"/>
    <w:rsid w:val="00245E0C"/>
    <w:rsid w:val="002C1572"/>
    <w:rsid w:val="002C5E6A"/>
    <w:rsid w:val="002E206A"/>
    <w:rsid w:val="002E78B9"/>
    <w:rsid w:val="00316976"/>
    <w:rsid w:val="00384B76"/>
    <w:rsid w:val="004A7DBD"/>
    <w:rsid w:val="004B1B39"/>
    <w:rsid w:val="00543443"/>
    <w:rsid w:val="00573E01"/>
    <w:rsid w:val="005760EF"/>
    <w:rsid w:val="00594F18"/>
    <w:rsid w:val="0061552B"/>
    <w:rsid w:val="00646769"/>
    <w:rsid w:val="007451A3"/>
    <w:rsid w:val="00813E99"/>
    <w:rsid w:val="008626DD"/>
    <w:rsid w:val="008C6864"/>
    <w:rsid w:val="0091742A"/>
    <w:rsid w:val="00943379"/>
    <w:rsid w:val="009A3DBF"/>
    <w:rsid w:val="009E47B6"/>
    <w:rsid w:val="00A022F9"/>
    <w:rsid w:val="00A1405A"/>
    <w:rsid w:val="00A42BB3"/>
    <w:rsid w:val="00AE3FDC"/>
    <w:rsid w:val="00BF2D96"/>
    <w:rsid w:val="00C43CA0"/>
    <w:rsid w:val="00D25FCA"/>
    <w:rsid w:val="00D3205C"/>
    <w:rsid w:val="00E83747"/>
    <w:rsid w:val="00E87C4D"/>
    <w:rsid w:val="00EE2CC8"/>
    <w:rsid w:val="00F7491E"/>
    <w:rsid w:val="00FC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BB254-BA30-47EB-AD07-DC28864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E7A"/>
    <w:rPr>
      <w:rFonts w:ascii="Times New Roman" w:hAnsi="Times New Roman"/>
      <w:sz w:val="20"/>
    </w:rPr>
  </w:style>
  <w:style w:type="paragraph" w:styleId="Heading1">
    <w:name w:val="heading 1"/>
    <w:basedOn w:val="Normal"/>
    <w:next w:val="Normal"/>
    <w:link w:val="Heading1Char"/>
    <w:uiPriority w:val="9"/>
    <w:qFormat/>
    <w:rsid w:val="00594F18"/>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94F18"/>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594F18"/>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F18"/>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594F18"/>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594F18"/>
    <w:rPr>
      <w:rFonts w:asciiTheme="majorHAnsi" w:eastAsiaTheme="majorEastAsia" w:hAnsiTheme="majorHAnsi" w:cstheme="majorBidi"/>
      <w:b/>
      <w:bCs/>
      <w:sz w:val="20"/>
    </w:rPr>
  </w:style>
  <w:style w:type="character" w:customStyle="1" w:styleId="companyname2">
    <w:name w:val="companyname2"/>
    <w:basedOn w:val="DefaultParagraphFont"/>
    <w:rsid w:val="00E87C4D"/>
    <w:rPr>
      <w:b/>
      <w:bCs/>
      <w:vanish w:val="0"/>
      <w:webHidden w:val="0"/>
      <w:sz w:val="23"/>
      <w:szCs w:val="23"/>
      <w:specVanish w:val="0"/>
    </w:rPr>
  </w:style>
  <w:style w:type="character" w:styleId="HTMLAcronym">
    <w:name w:val="HTML Acronym"/>
    <w:basedOn w:val="DefaultParagraphFont"/>
    <w:uiPriority w:val="99"/>
    <w:semiHidden/>
    <w:unhideWhenUsed/>
    <w:rsid w:val="00E87C4D"/>
  </w:style>
  <w:style w:type="paragraph" w:styleId="NormalWeb">
    <w:name w:val="Normal (Web)"/>
    <w:basedOn w:val="Normal"/>
    <w:uiPriority w:val="99"/>
    <w:semiHidden/>
    <w:unhideWhenUsed/>
    <w:rsid w:val="00E87C4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38656">
      <w:bodyDiv w:val="1"/>
      <w:marLeft w:val="0"/>
      <w:marRight w:val="0"/>
      <w:marTop w:val="0"/>
      <w:marBottom w:val="0"/>
      <w:divBdr>
        <w:top w:val="none" w:sz="0" w:space="0" w:color="auto"/>
        <w:left w:val="none" w:sz="0" w:space="0" w:color="auto"/>
        <w:bottom w:val="none" w:sz="0" w:space="0" w:color="auto"/>
        <w:right w:val="none" w:sz="0" w:space="0" w:color="auto"/>
      </w:divBdr>
      <w:divsChild>
        <w:div w:id="1307515803">
          <w:marLeft w:val="0"/>
          <w:marRight w:val="0"/>
          <w:marTop w:val="0"/>
          <w:marBottom w:val="0"/>
          <w:divBdr>
            <w:top w:val="none" w:sz="0" w:space="0" w:color="auto"/>
            <w:left w:val="none" w:sz="0" w:space="0" w:color="auto"/>
            <w:bottom w:val="none" w:sz="0" w:space="0" w:color="auto"/>
            <w:right w:val="none" w:sz="0" w:space="0" w:color="auto"/>
          </w:divBdr>
        </w:div>
      </w:divsChild>
    </w:div>
    <w:div w:id="2062751443">
      <w:bodyDiv w:val="1"/>
      <w:marLeft w:val="0"/>
      <w:marRight w:val="0"/>
      <w:marTop w:val="0"/>
      <w:marBottom w:val="0"/>
      <w:divBdr>
        <w:top w:val="none" w:sz="0" w:space="0" w:color="auto"/>
        <w:left w:val="none" w:sz="0" w:space="0" w:color="auto"/>
        <w:bottom w:val="none" w:sz="0" w:space="0" w:color="auto"/>
        <w:right w:val="none" w:sz="0" w:space="0" w:color="auto"/>
      </w:divBdr>
      <w:divsChild>
        <w:div w:id="153134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c.gov/cgi-bin/browse-edgar?action=getcompany&amp;CIK=0001086600&amp;owner=exclude&amp;count=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5952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Wavrin, Shelly</dc:creator>
  <cp:keywords/>
  <dc:description/>
  <cp:lastModifiedBy>Wavrin, Shelly</cp:lastModifiedBy>
  <cp:revision>2</cp:revision>
  <dcterms:created xsi:type="dcterms:W3CDTF">2016-08-24T20:47:00Z</dcterms:created>
  <dcterms:modified xsi:type="dcterms:W3CDTF">2016-08-24T20:47:00Z</dcterms:modified>
</cp:coreProperties>
</file>